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8.jpeg" ContentType="image/jpeg"/>
  <Override PartName="/word/media/image10.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0791d1_6k.htm"/>
      <w:bookmarkStart w:id="1" w:name="kstm2620791d1_6k"/>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001-39407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Li Auto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Wenliang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Shunyi District, Beijing 101399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jc w:val="center"/>
        <w:rPr>
          <w:caps w:val="false"/>
          <w:smallCaps w:val="false"/>
        </w:rPr>
      </w:pPr>
      <w:r>
        <w:rPr>
          <w:caps w:val="false"/>
          <w:smallCaps w:val="false"/>
        </w:rPr>
        <w:t> </w:t>
      </w:r>
    </w:p>
    <w:tbl>
      <w:tblPr>
        <w:tblW w:w="5215" w:type="dxa"/>
        <w:jc w:val="left"/>
        <w:tblInd w:w="0" w:type="dxa"/>
        <w:tblLayout w:type="fixed"/>
        <w:tblCellMar>
          <w:top w:w="0" w:type="dxa"/>
          <w:left w:w="0" w:type="dxa"/>
          <w:bottom w:w="28" w:type="dxa"/>
          <w:right w:w="0" w:type="dxa"/>
        </w:tblCellMar>
      </w:tblPr>
      <w:tblGrid>
        <w:gridCol w:w="1205"/>
        <w:gridCol w:w="60"/>
        <w:gridCol w:w="3950"/>
      </w:tblGrid>
      <w:tr>
        <w:trPr/>
        <w:tc>
          <w:tcPr>
            <w:tcW w:w="1205" w:type="dxa"/>
            <w:tcBorders>
              <w:bottom w:val="single" w:sz="8" w:space="0" w:color="000000"/>
            </w:tcBorders>
            <w:vAlign w:val="center"/>
          </w:tcPr>
          <w:p>
            <w:pPr>
              <w:pStyle w:val="TableContents"/>
              <w:bidi w:val="0"/>
              <w:spacing w:before="0" w:after="283"/>
              <w:jc w:val="center"/>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3950" w:type="dxa"/>
            <w:tcBorders>
              <w:bottom w:val="single" w:sz="8" w:space="0" w:color="000000"/>
            </w:tcBorders>
            <w:vAlign w:val="center"/>
          </w:tcPr>
          <w:p>
            <w:pPr>
              <w:pStyle w:val="TableContents"/>
              <w:bidi w:val="0"/>
              <w:spacing w:before="0" w:after="283"/>
              <w:jc w:val="center"/>
              <w:rPr>
                <w:b/>
              </w:rPr>
            </w:pPr>
            <w:r>
              <w:rPr>
                <w:b/>
              </w:rPr>
              <w:t>Description</w:t>
            </w:r>
          </w:p>
        </w:tc>
      </w:tr>
      <w:tr>
        <w:trPr/>
        <w:tc>
          <w:tcPr>
            <w:tcW w:w="1205" w:type="dxa"/>
            <w:tcBorders/>
            <w:tcMar>
              <w:bottom w:w="0" w:type="dxa"/>
            </w:tcMar>
            <w:vAlign w:val="center"/>
          </w:tcPr>
          <w:p>
            <w:pPr>
              <w:pStyle w:val="TableContents"/>
              <w:bidi w:val="0"/>
              <w:spacing w:before="0" w:after="283"/>
              <w:jc w:val="center"/>
              <w:rPr/>
            </w:pPr>
            <w:hyperlink w:anchor="tm2620791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3950" w:type="dxa"/>
            <w:tcBorders/>
            <w:tcMar>
              <w:bottom w:w="0" w:type="dxa"/>
            </w:tcMar>
            <w:vAlign w:val="center"/>
          </w:tcPr>
          <w:p>
            <w:pPr>
              <w:pStyle w:val="TableContents"/>
              <w:bidi w:val="0"/>
              <w:spacing w:before="0" w:after="283"/>
              <w:jc w:val="left"/>
              <w:rPr/>
            </w:pPr>
            <w:hyperlink w:anchor="tm2620791d1_ex99-1.htm">
              <w:r>
                <w:rPr>
                  <w:rStyle w:val="InternetLink"/>
                  <w:rFonts w:ascii="Times New Roman;Times;Serif" w:hAnsi="Times New Roman;Times;Serif"/>
                  <w:sz w:val="20"/>
                </w:rPr>
                <w:t>Next Day Disclosure Return dated July 13, 2026</w:t>
              </w:r>
            </w:hyperlink>
          </w:p>
        </w:tc>
      </w:tr>
      <w:tr>
        <w:trPr/>
        <w:tc>
          <w:tcPr>
            <w:tcW w:w="1205" w:type="dxa"/>
            <w:tcBorders/>
            <w:tcMar>
              <w:bottom w:w="0" w:type="dxa"/>
            </w:tcMar>
            <w:vAlign w:val="center"/>
          </w:tcPr>
          <w:p>
            <w:pPr>
              <w:pStyle w:val="TableContents"/>
              <w:bidi w:val="0"/>
              <w:spacing w:before="0" w:after="283"/>
              <w:jc w:val="center"/>
              <w:rPr/>
            </w:pPr>
            <w:hyperlink w:anchor="tm2620791d1_ex99-2.htm">
              <w:r>
                <w:rPr>
                  <w:rStyle w:val="InternetLink"/>
                  <w:rFonts w:ascii="Times New Roman;Times;Serif" w:hAnsi="Times New Roman;Times;Serif"/>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3950" w:type="dxa"/>
            <w:tcBorders/>
            <w:tcMar>
              <w:bottom w:w="0" w:type="dxa"/>
            </w:tcMar>
            <w:vAlign w:val="center"/>
          </w:tcPr>
          <w:p>
            <w:pPr>
              <w:pStyle w:val="TableContents"/>
              <w:bidi w:val="0"/>
              <w:spacing w:before="0" w:after="283"/>
              <w:jc w:val="left"/>
              <w:rPr/>
            </w:pPr>
            <w:hyperlink w:anchor="tm2620791d1_ex99-2.htm">
              <w:r>
                <w:rPr>
                  <w:rStyle w:val="InternetLink"/>
                  <w:rFonts w:ascii="Times New Roman;Times;Serif" w:hAnsi="Times New Roman;Times;Serif"/>
                  <w:sz w:val="20"/>
                </w:rPr>
                <w:t>Next Day Disclosure Return dated July 14, 2026</w:t>
              </w:r>
            </w:hyperlink>
          </w:p>
        </w:tc>
      </w:tr>
      <w:tr>
        <w:trPr/>
        <w:tc>
          <w:tcPr>
            <w:tcW w:w="1205" w:type="dxa"/>
            <w:tcBorders/>
            <w:tcMar>
              <w:bottom w:w="0" w:type="dxa"/>
            </w:tcMar>
            <w:vAlign w:val="center"/>
          </w:tcPr>
          <w:p>
            <w:pPr>
              <w:pStyle w:val="TableContents"/>
              <w:bidi w:val="0"/>
              <w:spacing w:before="0" w:after="283"/>
              <w:jc w:val="center"/>
              <w:rPr/>
            </w:pPr>
            <w:hyperlink w:anchor="tm2620791d1_ex99-3.htm">
              <w:r>
                <w:rPr>
                  <w:rStyle w:val="InternetLink"/>
                  <w:rFonts w:ascii="Times New Roman;Times;Serif" w:hAnsi="Times New Roman;Times;Serif"/>
                  <w:sz w:val="20"/>
                </w:rPr>
                <w:t>99.3</w:t>
              </w:r>
            </w:hyperlink>
          </w:p>
        </w:tc>
        <w:tc>
          <w:tcPr>
            <w:tcW w:w="60" w:type="dxa"/>
            <w:tcBorders/>
            <w:tcMar>
              <w:bottom w:w="0" w:type="dxa"/>
            </w:tcMar>
            <w:vAlign w:val="center"/>
          </w:tcPr>
          <w:p>
            <w:pPr>
              <w:pStyle w:val="TableContents"/>
              <w:bidi w:val="0"/>
              <w:spacing w:before="0" w:after="283"/>
              <w:jc w:val="left"/>
              <w:rPr/>
            </w:pPr>
            <w:r>
              <w:rPr/>
              <w:t> </w:t>
            </w:r>
          </w:p>
        </w:tc>
        <w:tc>
          <w:tcPr>
            <w:tcW w:w="3950" w:type="dxa"/>
            <w:tcBorders/>
            <w:tcMar>
              <w:bottom w:w="0" w:type="dxa"/>
            </w:tcMar>
            <w:vAlign w:val="center"/>
          </w:tcPr>
          <w:p>
            <w:pPr>
              <w:pStyle w:val="TableContents"/>
              <w:bidi w:val="0"/>
              <w:spacing w:before="0" w:after="283"/>
              <w:jc w:val="left"/>
              <w:rPr/>
            </w:pPr>
            <w:hyperlink w:anchor="tm2620791d1_ex99-3.htm">
              <w:r>
                <w:rPr>
                  <w:rStyle w:val="InternetLink"/>
                  <w:rFonts w:ascii="Times New Roman;Times;Serif" w:hAnsi="Times New Roman;Times;Serif"/>
                  <w:sz w:val="20"/>
                </w:rPr>
                <w:t>Next Day Disclosure Return dated July 15, 2026</w:t>
              </w:r>
            </w:hyperlink>
          </w:p>
        </w:tc>
      </w:tr>
      <w:tr>
        <w:trPr/>
        <w:tc>
          <w:tcPr>
            <w:tcW w:w="1205" w:type="dxa"/>
            <w:tcBorders/>
            <w:tcMar>
              <w:bottom w:w="0" w:type="dxa"/>
            </w:tcMar>
            <w:vAlign w:val="center"/>
          </w:tcPr>
          <w:p>
            <w:pPr>
              <w:pStyle w:val="TableContents"/>
              <w:bidi w:val="0"/>
              <w:spacing w:before="0" w:after="283"/>
              <w:jc w:val="center"/>
              <w:rPr/>
            </w:pPr>
            <w:hyperlink w:anchor="tm2620791d1_ex99-4.htm">
              <w:r>
                <w:rPr>
                  <w:rStyle w:val="InternetLink"/>
                  <w:rFonts w:ascii="Times New Roman;Times;Serif" w:hAnsi="Times New Roman;Times;Serif"/>
                  <w:sz w:val="20"/>
                </w:rPr>
                <w:t>99.4</w:t>
              </w:r>
            </w:hyperlink>
          </w:p>
        </w:tc>
        <w:tc>
          <w:tcPr>
            <w:tcW w:w="60" w:type="dxa"/>
            <w:tcBorders/>
            <w:tcMar>
              <w:bottom w:w="0" w:type="dxa"/>
            </w:tcMar>
            <w:vAlign w:val="center"/>
          </w:tcPr>
          <w:p>
            <w:pPr>
              <w:pStyle w:val="TableContents"/>
              <w:bidi w:val="0"/>
              <w:spacing w:before="0" w:after="283"/>
              <w:jc w:val="left"/>
              <w:rPr/>
            </w:pPr>
            <w:r>
              <w:rPr/>
              <w:t> </w:t>
            </w:r>
          </w:p>
        </w:tc>
        <w:tc>
          <w:tcPr>
            <w:tcW w:w="3950" w:type="dxa"/>
            <w:tcBorders/>
            <w:tcMar>
              <w:bottom w:w="0" w:type="dxa"/>
            </w:tcMar>
            <w:vAlign w:val="center"/>
          </w:tcPr>
          <w:p>
            <w:pPr>
              <w:pStyle w:val="TableContents"/>
              <w:bidi w:val="0"/>
              <w:spacing w:before="0" w:after="283"/>
              <w:jc w:val="left"/>
              <w:rPr/>
            </w:pPr>
            <w:hyperlink w:anchor="tm2620791d1_ex99-4.htm">
              <w:r>
                <w:rPr>
                  <w:rStyle w:val="InternetLink"/>
                  <w:rFonts w:ascii="Times New Roman;Times;Serif" w:hAnsi="Times New Roman;Times;Serif"/>
                  <w:sz w:val="20"/>
                </w:rPr>
                <w:t>Next Day Disclosure Return dated July 16, 2026</w:t>
              </w:r>
            </w:hyperlink>
          </w:p>
        </w:tc>
      </w:tr>
      <w:tr>
        <w:trPr/>
        <w:tc>
          <w:tcPr>
            <w:tcW w:w="1205" w:type="dxa"/>
            <w:tcBorders/>
            <w:tcMar>
              <w:bottom w:w="0" w:type="dxa"/>
            </w:tcMar>
            <w:vAlign w:val="center"/>
          </w:tcPr>
          <w:p>
            <w:pPr>
              <w:pStyle w:val="TableContents"/>
              <w:bidi w:val="0"/>
              <w:spacing w:before="0" w:after="283"/>
              <w:jc w:val="center"/>
              <w:rPr/>
            </w:pPr>
            <w:hyperlink w:anchor="tm2620791d1_ex99-5.htm">
              <w:r>
                <w:rPr>
                  <w:rStyle w:val="InternetLink"/>
                  <w:rFonts w:ascii="Times New Roman;Times;Serif" w:hAnsi="Times New Roman;Times;Serif"/>
                  <w:sz w:val="20"/>
                </w:rPr>
                <w:t>99.5</w:t>
              </w:r>
            </w:hyperlink>
          </w:p>
        </w:tc>
        <w:tc>
          <w:tcPr>
            <w:tcW w:w="60" w:type="dxa"/>
            <w:tcBorders/>
            <w:tcMar>
              <w:bottom w:w="0" w:type="dxa"/>
            </w:tcMar>
            <w:vAlign w:val="center"/>
          </w:tcPr>
          <w:p>
            <w:pPr>
              <w:pStyle w:val="TableContents"/>
              <w:bidi w:val="0"/>
              <w:spacing w:before="0" w:after="283"/>
              <w:jc w:val="left"/>
              <w:rPr/>
            </w:pPr>
            <w:r>
              <w:rPr/>
              <w:t> </w:t>
            </w:r>
          </w:p>
        </w:tc>
        <w:tc>
          <w:tcPr>
            <w:tcW w:w="3950" w:type="dxa"/>
            <w:tcBorders/>
            <w:tcMar>
              <w:bottom w:w="0" w:type="dxa"/>
            </w:tcMar>
            <w:vAlign w:val="center"/>
          </w:tcPr>
          <w:p>
            <w:pPr>
              <w:pStyle w:val="TableContents"/>
              <w:bidi w:val="0"/>
              <w:spacing w:before="0" w:after="283"/>
              <w:jc w:val="left"/>
              <w:rPr/>
            </w:pPr>
            <w:hyperlink w:anchor="tm2620791d1_ex99-5.htm">
              <w:r>
                <w:rPr>
                  <w:rStyle w:val="InternetLink"/>
                  <w:rFonts w:ascii="Times New Roman;Times;Serif" w:hAnsi="Times New Roman;Times;Serif"/>
                  <w:sz w:val="20"/>
                </w:rPr>
                <w:t>Next Day Disclosure Return dated July 17, 2026</w:t>
              </w:r>
            </w:hyperlink>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215" w:type="dxa"/>
        <w:jc w:val="left"/>
        <w:tblInd w:w="0" w:type="dxa"/>
        <w:tblLayout w:type="fixed"/>
        <w:tblCellMar>
          <w:top w:w="0" w:type="dxa"/>
          <w:left w:w="0" w:type="dxa"/>
          <w:bottom w:w="0" w:type="dxa"/>
          <w:right w:w="0" w:type="dxa"/>
        </w:tblCellMar>
      </w:tblPr>
      <w:tblGrid>
        <w:gridCol w:w="75"/>
        <w:gridCol w:w="590"/>
        <w:gridCol w:w="80"/>
        <w:gridCol w:w="3470"/>
      </w:tblGrid>
      <w:tr>
        <w:trPr/>
        <w:tc>
          <w:tcPr>
            <w:tcW w:w="75" w:type="dxa"/>
            <w:tcBorders/>
            <w:vAlign w:val="center"/>
          </w:tcPr>
          <w:p>
            <w:pPr>
              <w:pStyle w:val="TableContents"/>
              <w:bidi w:val="0"/>
              <w:spacing w:before="0" w:after="283"/>
              <w:jc w:val="left"/>
              <w:rPr/>
            </w:pPr>
            <w:r>
              <w:rPr/>
              <w:t> </w:t>
            </w:r>
          </w:p>
        </w:tc>
        <w:tc>
          <w:tcPr>
            <w:tcW w:w="4140" w:type="dxa"/>
            <w:gridSpan w:val="3"/>
            <w:tcBorders/>
            <w:vAlign w:val="center"/>
          </w:tcPr>
          <w:p>
            <w:pPr>
              <w:pStyle w:val="TableContents"/>
              <w:bidi w:val="0"/>
              <w:spacing w:before="0" w:after="283"/>
              <w:jc w:val="left"/>
              <w:rPr>
                <w:b/>
              </w:rPr>
            </w:pPr>
            <w:r>
              <w:rPr>
                <w:b/>
              </w:rPr>
              <w:t>Li Auto Inc.</w:t>
            </w:r>
          </w:p>
        </w:tc>
      </w:tr>
      <w:tr>
        <w:trPr/>
        <w:tc>
          <w:tcPr>
            <w:tcW w:w="75" w:type="dxa"/>
            <w:tcBorders/>
            <w:vAlign w:val="center"/>
          </w:tcPr>
          <w:p>
            <w:pPr>
              <w:pStyle w:val="TableContents"/>
              <w:bidi w:val="0"/>
              <w:spacing w:before="0" w:after="283"/>
              <w:jc w:val="left"/>
              <w:rPr/>
            </w:pPr>
            <w:r>
              <w:rPr/>
              <w:t> </w:t>
            </w:r>
          </w:p>
        </w:tc>
        <w:tc>
          <w:tcPr>
            <w:tcW w:w="414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80" w:type="dxa"/>
            <w:tcBorders/>
            <w:vAlign w:val="center"/>
          </w:tcPr>
          <w:p>
            <w:pPr>
              <w:pStyle w:val="TableContents"/>
              <w:bidi w:val="0"/>
              <w:spacing w:before="0" w:after="283"/>
              <w:jc w:val="center"/>
              <w:rPr/>
            </w:pPr>
            <w:r>
              <w:rPr/>
              <w:t> </w:t>
            </w:r>
          </w:p>
        </w:tc>
        <w:tc>
          <w:tcPr>
            <w:tcW w:w="3470"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Tie Li</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8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t>
            </w:r>
          </w:p>
        </w:tc>
        <w:tc>
          <w:tcPr>
            <w:tcW w:w="34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Tie Li</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8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t>
            </w:r>
          </w:p>
        </w:tc>
        <w:tc>
          <w:tcPr>
            <w:tcW w:w="34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Director and Chief Financial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right"/>
        <w:rPr>
          <w:rFonts w:ascii="Times New Roman;Times;Serif" w:hAnsi="Times New Roman;Times;Serif"/>
          <w:b/>
          <w:sz w:val="20"/>
        </w:rPr>
      </w:pPr>
      <w:bookmarkStart w:id="2" w:name="tm2620791d1_ex99-1.htm"/>
      <w:bookmarkStart w:id="3" w:name="kstm2620791d1_ex991"/>
      <w:bookmarkEnd w:id="2"/>
      <w:bookmarkEnd w:id="3"/>
      <w:r>
        <w:rPr>
          <w:rFonts w:ascii="Times New Roman;Times;Serif" w:hAnsi="Times New Roman;Times;Serif"/>
          <w:b/>
          <w:sz w:val="20"/>
        </w:rPr>
        <w:t>Exhibit 99.1</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 of 5 v 1.3.0 Next Day Disclosure Return (Equity issuer - changes in issued shares or treasury shares, share buybacks and/or on-market sales of treasury shares) Instrument: Equity issuer Status: New Submission Name of Issuer: Li Auto Inc. Date Submitted: 13 July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02015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09 July 2026 1,737,117,041 71,306,628 1,808,423,669 1). Repurchase of shares (shares held as treasury shares) Date of changes 10 July 2026 -320,146 0.0184 % 320,146 USD 6.0619 Closing balance as at (Notes 5 and 6) 10 July 2026 1,736,796,895 71,626,774 1,808,423,669 B. Shares redeemed or repurchased for cancellation but not yet cancelled as at the closing balance date (Notes 5 and 6) Not applicable</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5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5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02015 Description A. Repurchase report Trading date Number of shares repurchased Method of repurchase (Note 1) Repurchase price per share or highest repurchase price per share $ Lowest repurchase price per share $ Aggregate price paid $ 1). 10 July 2026 320,146 On another stock exchange Nasdaq Global Select Market USD 6.125 USD 6.03 USD 1,940,677.03 Total number of shares repurchased 320,146 Aggregate price paid $ USD 1,940,677.03 Number of shares repurchased for cancellation 0 Number of shares repurchased for holding as treasury shares 320,146 B. Additional information for issuer who has a primary listing on the Exchange 1). Date of the resolution granting the repurchase mandate 29 May 2026 2). Total number of shares which the issuer is authorised to repurchase under the repurchase mandate 214,280,424 3). Number of shares repurchased on the Exchange or another stock exchange under the repurchase mandate (a) 52,035,434 4). As a % of number of issued shares (excluding treasury shares) as at the date of the resolution granting the repurchase mandate (a) x 100 / number of issued shares (excluding treasury shares) as at the date of the resolution granting the repurchase mandate 2.4284 % 5). Moratorium period for any issue of new shares, or sale or transfer of treasury shares after the share repurchase(s) set out in Part A (Note 2) Up to 09 August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5 v 1.3.0 We hereby confirm that the repurchases made on the Exchange set out in Part A above were made in accordance with the Main Board Rules and that there have been no material changes to the particulars contained in the Explanatory Statement dated 22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5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Wang Yang (Name) Title: Joint Company Secretary (Director, Secretary or other Duly Authorised Officer)</w:t>
            </w:r>
          </w:p>
        </w:tc>
      </w:tr>
    </w:tbl>
    <w:p>
      <w:pPr>
        <w:pStyle w:val="TextBody"/>
        <w:bidi w:val="0"/>
        <w:ind w:left="0" w:right="0" w:hanging="0"/>
        <w:jc w:val="right"/>
        <w:rPr>
          <w:rFonts w:ascii="Times New Roman;Times;Serif" w:hAnsi="Times New Roman;Times;Serif"/>
          <w:b/>
          <w:sz w:val="20"/>
        </w:rPr>
      </w:pPr>
      <w:bookmarkStart w:id="4" w:name="tm2620791d1_ex99-2.htm"/>
      <w:bookmarkStart w:id="5" w:name="kstm2620791d1_ex992"/>
      <w:bookmarkEnd w:id="4"/>
      <w:bookmarkEnd w:id="5"/>
      <w:r>
        <w:rPr>
          <w:rFonts w:ascii="Times New Roman;Times;Serif" w:hAnsi="Times New Roman;Times;Serif"/>
          <w:b/>
          <w:sz w:val="20"/>
        </w:rPr>
        <w:t>Exhibit 99.2</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 of 6 v 1.3.0 Next Day Disclosure Return (Equity issuer - changes in issued shares or treasury shares, share buybacks and/or on-market sales of treasury shares) Instrument: Equity issuer Status: New Submission Name of Issuer: Li Auto Inc. Date Submitted: 14 July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02015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10 July 2026 1,736,796,895 71,626,774 1,808,423,669 1). Repurchase of shares (shares held as treasury shares) Date of changes 13 July 2026 -779,734 0.0449 % 779,734 USD 6.1225 2). Other (please specify) Conversion of Class B ordinary shares to Class A ordinary shares Date of changes 14 July 2026 9,901,440 %</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6 v 1.3.0 Closing balance as at (Notes 5 and 6) 14 July 2026 1,745,918,601 72,406,508 1,818,325,109 B. Shares redeemed or repurchased for cancellation but not yet cancelled as at the closing balance date (Notes 5 and 6) Not applicable 2. Class of shares WVR ordinary shares Type of shares B Listed on the Exchange No Stock code (if listed) N/A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30 June 2026 355,100,599 0 355,100,599 1). Other (please specify) Conversion of Class B ordinary shares to Class A ordinary shares Date of changes 14 July 2026 -9,901,440 % Closing balance as at (Notes 5 and 6) 14 July 2026 345,199,159 0 345,199,159 B. Shares redeemed or repurchased for cancellation but not yet cancelled as at the closing balance date (Notes 5 and 6) Not applicable</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6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6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02015 Description A. Repurchase report Trading date Number of shares repurchased Method of repurchase (Note 1) Repurchase price per share or highest repurchase price per share $ Lowest repurchase price per share $ Aggregate price paid $ 1). 13 July 2026 779,734 On another stock exchange Nasdaq Global Select Market USD 6.195 USD 6.05 USD 4,773,921.42 Total number of shares repurchased 779,734 Aggregate price paid $ USD 4,773,921.42 Number of shares repurchased for cancellation 0 Number of shares repurchased for holding as treasury shares 779,734 B. Additional information for issuer who has a primary listing on the Exchange 1). Date of the resolution granting the repurchase mandate 29 May 2026 2). Total number of shares which the issuer is authorised to repurchase under the repurchase mandate 214,280,424 3). Number of shares repurchased on the Exchange or another stock exchange under the repurchase mandate (a) 52,815,168 4). As a % of number of issued shares (excluding treasury shares) as at the date of the resolution granting the repurchase mandate (a) x 100 / number of issued shares (excluding treasury shares) as at the date of the resolution granting the repurchase mandate 2.4648 % 5). Moratorium period for any issue of new shares, or sale or transfer of treasury shares after the share repurchase(s) set out in Part A (Note 2) Up to 12 August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5 of 6 v 1.3.0 We hereby confirm that the repurchases made on the Exchange set out in Part A above were made in accordance with the Main Board Rules and that there have been no material changes to the particulars contained in the Explanatory Statement dated 22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6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Wang Yang (Name) Title: Joint Company Secretary (Director, Secretary or other Duly Authorised Officer)</w:t>
            </w:r>
          </w:p>
        </w:tc>
      </w:tr>
    </w:tbl>
    <w:p>
      <w:pPr>
        <w:pStyle w:val="TextBody"/>
        <w:bidi w:val="0"/>
        <w:ind w:left="0" w:right="0" w:hanging="0"/>
        <w:jc w:val="right"/>
        <w:rPr>
          <w:rFonts w:ascii="Times New Roman;Times;Serif" w:hAnsi="Times New Roman;Times;Serif"/>
          <w:b/>
          <w:sz w:val="20"/>
        </w:rPr>
      </w:pPr>
      <w:bookmarkStart w:id="6" w:name="tm2620791d1_ex99-3.htm"/>
      <w:bookmarkStart w:id="7" w:name="kstm2620791d1_ex993"/>
      <w:bookmarkEnd w:id="6"/>
      <w:bookmarkEnd w:id="7"/>
      <w:r>
        <w:rPr>
          <w:rFonts w:ascii="Times New Roman;Times;Serif" w:hAnsi="Times New Roman;Times;Serif"/>
          <w:b/>
          <w:sz w:val="20"/>
        </w:rPr>
        <w:t>Exhibit 99.3</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 of 5 v 1.3.0 Next Day Disclosure Return (Equity issuer - changes in issued shares or treasury shares, share buybacks and/or on-market sales of treasury shares) Instrument: Equity issuer Status: New Submission Name of Issuer: Li Auto Inc. Date Submitted: 15 July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02015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14 July 2026 1,745,918,601 72,406,508 1,818,325,109 1). Repurchase of shares (shares held as treasury shares) Date of changes 14 July 2026 -810,000 0.0464 % 810,000 USD 6.2219 Closing balance as at (Notes 5 and 6) 14 July 2026 1,745,108,601 73,216,508 1,818,325,109 B. Shares redeemed or repurchased for cancellation but not yet cancelled as at the closing balance date (Notes 5 and 6) Not applicable</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5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5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02015 Description A. Repurchase report Trading date Number of shares repurchased Method of repurchase (Note 1) Repurchase price per share or highest repurchase price per share $ Lowest repurchase price per share $ Aggregate price paid $ 1). 14 July 2026 810,000 On another stock exchange Nasdaq Global Select Market USD 6.295 USD 6.19 USD 5,039,739 Total number of shares repurchased 810,000 Aggregate price paid $ USD 5,039,739 Number of shares repurchased for cancellation 0 Number of shares repurchased for holding as treasury shares 810,000 B. Additional information for issuer who has a primary listing on the Exchange 1). Date of the resolution granting the repurchase mandate 29 May 2026 2). Total number of shares which the issuer is authorised to repurchase under the repurchase mandate 214,280,424 3). Number of shares repurchased on the Exchange or another stock exchange under the repurchase mandate (a) 53,625,168 4). As a % of number of issued shares (excluding treasury shares) as at the date of the resolution granting the repurchase mandate (a) x 100 / number of issued shares (excluding treasury shares) as at the date of the resolution granting the repurchase mandate 2.5026 % 5). Moratorium period for any issue of new shares, or sale or transfer of treasury shares after the share repurchase(s) set out in Part A (Note 2) Up to 13 August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5 v 1.3.0 We hereby confirm that the repurchases made on the Exchange set out in Part A above were made in accordance with the Main Board Rules and that there have been no material changes to the particulars contained in the Explanatory Statement dated 22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5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Wang Yang (Name) Title: Joint Company Secretary (Director, Secretary or other Duly Authorised Officer)</w:t>
            </w:r>
          </w:p>
        </w:tc>
      </w:tr>
    </w:tbl>
    <w:p>
      <w:pPr>
        <w:pStyle w:val="TextBody"/>
        <w:bidi w:val="0"/>
        <w:ind w:left="0" w:right="0" w:hanging="0"/>
        <w:jc w:val="right"/>
        <w:rPr>
          <w:rFonts w:ascii="Times New Roman;Times;Serif" w:hAnsi="Times New Roman;Times;Serif"/>
          <w:b/>
          <w:sz w:val="20"/>
        </w:rPr>
      </w:pPr>
      <w:bookmarkStart w:id="8" w:name="tm2620791d1_ex99-4.htm"/>
      <w:bookmarkStart w:id="9" w:name="kstm2620791d1_ex994"/>
      <w:bookmarkEnd w:id="8"/>
      <w:bookmarkEnd w:id="9"/>
      <w:r>
        <w:rPr>
          <w:rFonts w:ascii="Times New Roman;Times;Serif" w:hAnsi="Times New Roman;Times;Serif"/>
          <w:b/>
          <w:sz w:val="20"/>
        </w:rPr>
        <w:t>Exhibit 99.4</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 of 5 v 1.3.0 Next Day Disclosure Return (Equity issuer - changes in issued shares or treasury shares, share buybacks and/or on-market sales of treasury shares) Instrument: Equity issuer Status: New Submission Name of Issuer: Li Auto Inc. Date Submitted: 16 July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02015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14 July 2026 1,745,108,601 73,216,508 1,818,325,109 1). Repurchase of shares (shares held as treasury shares) Date of changes 15 July 2026 -950,000 0.0544 % 950,000 USD 6.3971 Closing balance as at (Notes 5 and 6) 15 July 2026 1,744,158,601 74,166,508 1,818,325,109 B. Shares redeemed or repurchased for cancellation but not yet cancelled as at the closing balance date (Notes 5 and 6) Not applicable</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5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5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02015 Description A. Repurchase report Trading date Number of shares repurchased Method of repurchase (Note 1) Repurchase price per share or highest repurchase price per share $ Lowest repurchase price per share $ Aggregate price paid $ 1). 15 July 2026 950,000 On another stock exchange Nasdaq Global Select Market USD 6.465 USD 6.2725 USD 6,077,245 Total number of shares repurchased 950,000 Aggregate price paid $ USD 6,077,245 Number of shares repurchased for cancellation 0 Number of shares repurchased for holding as treasury shares 950,000 B. Additional information for issuer who has a primary listing on the Exchange 1). Date of the resolution granting the repurchase mandate 29 May 2026 2). Total number of shares which the issuer is authorised to repurchase under the repurchase mandate 214,280,424 3). Number of shares repurchased on the Exchange or another stock exchange under the repurchase mandate (a) 54,575,168 4). As a % of number of issued shares (excluding treasury shares) as at the date of the resolution granting the repurchase mandate (a) x 100 / number of issued shares (excluding treasury shares) as at the date of the resolution granting the repurchase mandate 2.5469 % 5). Moratorium period for any issue of new shares, or sale or transfer of treasury shares after the share repurchase(s) set out in Part A (Note 2) Up to 14 August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5 v 1.3.0 We hereby confirm that the repurchases made on the Exchange set out in Part A above were made in accordance with the Main Board Rules and that there have been no material changes to the particulars contained in the Explanatory Statement dated 22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5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Wang Yang (Name) Title: Joint Company Secretary (Director, Secretary or other Duly Authorised Officer)</w:t>
            </w:r>
          </w:p>
        </w:tc>
      </w:tr>
    </w:tbl>
    <w:p>
      <w:pPr>
        <w:pStyle w:val="TextBody"/>
        <w:bidi w:val="0"/>
        <w:ind w:left="0" w:right="0" w:hanging="0"/>
        <w:jc w:val="right"/>
        <w:rPr>
          <w:rFonts w:ascii="Times New Roman;Times;Serif" w:hAnsi="Times New Roman;Times;Serif"/>
          <w:b/>
          <w:sz w:val="20"/>
        </w:rPr>
      </w:pPr>
      <w:bookmarkStart w:id="10" w:name="tm2620791d1_ex99-5.htm"/>
      <w:bookmarkStart w:id="11" w:name="kstm2620791d1_ex995"/>
      <w:bookmarkEnd w:id="10"/>
      <w:bookmarkEnd w:id="11"/>
      <w:r>
        <w:rPr>
          <w:rFonts w:ascii="Times New Roman;Times;Serif" w:hAnsi="Times New Roman;Times;Serif"/>
          <w:b/>
          <w:sz w:val="20"/>
        </w:rPr>
        <w:t>Exhibit 99.5</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 of 5 v 1.3.0 Next Day Disclosure Return (Equity issuer - changes in issued shares or treasury shares, share buybacks and/or on-market sales of treasury shares) Instrument: Equity issuer Status: New Submission Name of Issuer: Li Auto Inc. Date Submitted: 17 July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02015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15 July 2026 1,744,158,601 74,166,508 1,818,325,109 1). Repurchase of shares (shares held as treasury shares) Date of changes 16 July 2026 -1,870,118 0.1072 % 1,870,118 USD 6.5126 Closing balance as at (Notes 5 and 6) 16 July 2026 1,742,288,483 76,036,626 1,818,325,109 B. Shares redeemed or repurchased for cancellation but not yet cancelled as at the closing balance date (Notes 5 and 6) Not applicable</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5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5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02015 Description A. Repurchase report Trading date Number of shares repurchased Method of repurchase (Note 1) Repurchase price per share or highest repurchase price per share $ Lowest repurchase price per share $ Aggregate price paid $ 1). 16 July 2026 1,870,118 On another stock exchange Nasdaq Global Select Market USD 6.58 USD 6.45 USD 12,179,330.49 Total number of shares repurchased 1,870,118 Aggregate price paid $ USD 12,179,330.49 Number of shares repurchased for cancellation 0 Number of shares repurchased for holding as treasury shares 1,870,118 B. Additional information for issuer who has a primary listing on the Exchange 1). Date of the resolution granting the repurchase mandate 29 May 2026 2). Total number of shares which the issuer is authorised to repurchase under the repurchase mandate 214,280,424 3). Number of shares repurchased on the Exchange or another stock exchange under the repurchase mandate (a) 56,445,286 4). As a % of number of issued shares (excluding treasury shares) as at the date of the resolution granting the repurchase mandate (a) x 100 / number of issued shares (excluding treasury shares) as at the date of the resolution granting the repurchase mandate 2.6342 % 5). Moratorium period for any issue of new shares, or sale or transfer of treasury shares after the share repurchase(s) set out in Part A (Note 2) Up to 15 August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5 v 1.3.0 We hereby confirm that the repurchases made on the Exchange set out in Part A above were made in accordance with the Main Board Rules and that there have been no material changes to the particulars contained in the Explanatory Statement dated 22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5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Wang Yang (Name) Title: Joint Company Secretary (Director, Secretary or other Duly Authorised Officer)</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2.jpeg"/><Relationship Id="rId15" Type="http://schemas.openxmlformats.org/officeDocument/2006/relationships/image" Target="media/image13.jpeg"/><Relationship Id="rId16" Type="http://schemas.openxmlformats.org/officeDocument/2006/relationships/image" Target="media/image4.jpeg"/><Relationship Id="rId17" Type="http://schemas.openxmlformats.org/officeDocument/2006/relationships/image" Target="media/image5.jpeg"/><Relationship Id="rId18" Type="http://schemas.openxmlformats.org/officeDocument/2006/relationships/image" Target="media/image14.jpeg"/><Relationship Id="rId19" Type="http://schemas.openxmlformats.org/officeDocument/2006/relationships/image" Target="media/image2.jpeg"/><Relationship Id="rId20" Type="http://schemas.openxmlformats.org/officeDocument/2006/relationships/image" Target="media/image15.jpeg"/><Relationship Id="rId21" Type="http://schemas.openxmlformats.org/officeDocument/2006/relationships/image" Target="media/image4.jpeg"/><Relationship Id="rId22" Type="http://schemas.openxmlformats.org/officeDocument/2006/relationships/image" Target="media/image5.jpeg"/><Relationship Id="rId23" Type="http://schemas.openxmlformats.org/officeDocument/2006/relationships/image" Target="media/image16.jpeg"/><Relationship Id="rId24" Type="http://schemas.openxmlformats.org/officeDocument/2006/relationships/image" Target="media/image2.jpeg"/><Relationship Id="rId25" Type="http://schemas.openxmlformats.org/officeDocument/2006/relationships/image" Target="media/image17.jpeg"/><Relationship Id="rId26" Type="http://schemas.openxmlformats.org/officeDocument/2006/relationships/image" Target="media/image4.jpeg"/><Relationship Id="rId27" Type="http://schemas.openxmlformats.org/officeDocument/2006/relationships/image" Target="media/image5.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7064</Words>
  <Characters>34770</Characters>
  <CharactersWithSpaces>41825</CharactersWithSpaces>
  <Paragraphs>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