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187325</wp:posOffset>
            </wp:positionH>
            <wp:positionV relativeFrom="page">
              <wp:posOffset>231775</wp:posOffset>
            </wp:positionV>
            <wp:extent cx="7174230" cy="1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230" cy="12065"/>
                    </a:xfrm>
                    <a:prstGeom prst="rect">
                      <a:avLst/>
                    </a:prstGeom>
                    <a:noFill/>
                  </pic:spPr>
                </pic:pic>
              </a:graphicData>
            </a:graphic>
          </wp:anchor>
        </w:drawing>
        <w:drawing>
          <wp:anchor simplePos="0" relativeHeight="251657728" behindDoc="1" locked="0" layoutInCell="0" allowOverlap="1">
            <wp:simplePos x="0" y="0"/>
            <wp:positionH relativeFrom="page">
              <wp:posOffset>187325</wp:posOffset>
            </wp:positionH>
            <wp:positionV relativeFrom="page">
              <wp:posOffset>250190</wp:posOffset>
            </wp:positionV>
            <wp:extent cx="717423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230" cy="5715"/>
                    </a:xfrm>
                    <a:prstGeom prst="rect">
                      <a:avLst/>
                    </a:prstGeom>
                    <a:noFill/>
                  </pic:spPr>
                </pic:pic>
              </a:graphicData>
            </a:graphic>
          </wp:anchor>
        </w:drawing>
        <w:t>UNITED STATES</w:t>
      </w:r>
    </w:p>
    <w:p>
      <w:pPr>
        <w:spacing w:after="0" w:line="20"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SECURITIES AND EXCHANGE COMMISSION</w:t>
      </w:r>
    </w:p>
    <w:p>
      <w:pPr>
        <w:spacing w:after="0" w:line="18" w:lineRule="exact"/>
        <w:rPr>
          <w:sz w:val="24"/>
          <w:szCs w:val="24"/>
          <w:color w:val="auto"/>
        </w:rPr>
      </w:pPr>
    </w:p>
    <w:p>
      <w:pPr>
        <w:ind w:left="5000"/>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120015</wp:posOffset>
            </wp:positionV>
            <wp:extent cx="17951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5145" cy="5715"/>
                    </a:xfrm>
                    <a:prstGeom prst="rect">
                      <a:avLst/>
                    </a:prstGeom>
                    <a:noFill/>
                  </pic:spPr>
                </pic:pic>
              </a:graphicData>
            </a:graphic>
          </wp:anchor>
        </w:drawing>
      </w:r>
    </w:p>
    <w:p>
      <w:pPr>
        <w:spacing w:after="0" w:line="346" w:lineRule="exact"/>
        <w:rPr>
          <w:sz w:val="24"/>
          <w:szCs w:val="24"/>
          <w:color w:val="auto"/>
        </w:rPr>
      </w:pPr>
    </w:p>
    <w:p>
      <w:pPr>
        <w:ind w:left="5100"/>
        <w:spacing w:after="0"/>
        <w:rPr>
          <w:sz w:val="20"/>
          <w:szCs w:val="20"/>
          <w:color w:val="auto"/>
        </w:rPr>
      </w:pPr>
      <w:r>
        <w:rPr>
          <w:rFonts w:ascii="Arial" w:cs="Arial" w:eastAsia="Arial" w:hAnsi="Arial"/>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131445</wp:posOffset>
            </wp:positionV>
            <wp:extent cx="17951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5145" cy="5715"/>
                    </a:xfrm>
                    <a:prstGeom prst="rect">
                      <a:avLst/>
                    </a:prstGeom>
                    <a:noFill/>
                  </pic:spPr>
                </pic:pic>
              </a:graphicData>
            </a:graphic>
          </wp:anchor>
        </w:drawing>
      </w:r>
    </w:p>
    <w:p>
      <w:pPr>
        <w:spacing w:after="0" w:line="380"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REPORT OF FOREIGN PRIVATE ISSUER</w:t>
      </w:r>
    </w:p>
    <w:p>
      <w:pPr>
        <w:spacing w:after="0" w:line="12"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PURSUANT TO RULE 13a-16 OR 15d-16 UNDER</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THE SECURITIES EXCHANGE ACT OF 1934</w:t>
      </w:r>
    </w:p>
    <w:p>
      <w:pPr>
        <w:spacing w:after="0" w:line="140"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For the month of June 2023</w:t>
      </w:r>
    </w:p>
    <w:p>
      <w:pPr>
        <w:spacing w:after="0" w:line="151" w:lineRule="exact"/>
        <w:rPr>
          <w:sz w:val="24"/>
          <w:szCs w:val="24"/>
          <w:color w:val="auto"/>
        </w:rPr>
      </w:pPr>
    </w:p>
    <w:p>
      <w:pPr>
        <w:ind w:left="4660"/>
        <w:spacing w:after="0"/>
        <w:rPr>
          <w:sz w:val="20"/>
          <w:szCs w:val="20"/>
          <w:color w:val="auto"/>
        </w:rPr>
      </w:pPr>
      <w:r>
        <w:rPr>
          <w:rFonts w:ascii="Arial" w:cs="Arial" w:eastAsia="Arial" w:hAnsi="Arial"/>
          <w:sz w:val="13"/>
          <w:szCs w:val="13"/>
          <w:b w:val="1"/>
          <w:bCs w:val="1"/>
          <w:color w:val="auto"/>
        </w:rPr>
        <w:t>Commission File Number: 001-39407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127635</wp:posOffset>
            </wp:positionV>
            <wp:extent cx="179514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5145" cy="5715"/>
                    </a:xfrm>
                    <a:prstGeom prst="rect">
                      <a:avLst/>
                    </a:prstGeom>
                    <a:noFill/>
                  </pic:spPr>
                </pic:pic>
              </a:graphicData>
            </a:graphic>
          </wp:anchor>
        </w:drawing>
      </w:r>
    </w:p>
    <w:p>
      <w:pPr>
        <w:spacing w:after="0" w:line="358" w:lineRule="exact"/>
        <w:rPr>
          <w:sz w:val="24"/>
          <w:szCs w:val="24"/>
          <w:color w:val="auto"/>
        </w:rPr>
      </w:pPr>
    </w:p>
    <w:p>
      <w:pPr>
        <w:ind w:left="5060"/>
        <w:spacing w:after="0"/>
        <w:rPr>
          <w:sz w:val="20"/>
          <w:szCs w:val="20"/>
          <w:color w:val="auto"/>
        </w:rPr>
      </w:pPr>
      <w:r>
        <w:rPr>
          <w:rFonts w:ascii="Arial" w:cs="Arial" w:eastAsia="Arial" w:hAnsi="Arial"/>
          <w:sz w:val="23"/>
          <w:szCs w:val="23"/>
          <w:b w:val="1"/>
          <w:bCs w:val="1"/>
          <w:color w:val="auto"/>
        </w:rPr>
        <w:t>Li Auto Inc.</w:t>
      </w:r>
    </w:p>
    <w:p>
      <w:pPr>
        <w:spacing w:after="0" w:line="18" w:lineRule="exact"/>
        <w:rPr>
          <w:sz w:val="24"/>
          <w:szCs w:val="24"/>
          <w:color w:val="auto"/>
        </w:rPr>
      </w:pPr>
    </w:p>
    <w:p>
      <w:pPr>
        <w:ind w:left="5140"/>
        <w:spacing w:after="0"/>
        <w:rPr>
          <w:sz w:val="20"/>
          <w:szCs w:val="20"/>
          <w:color w:val="auto"/>
        </w:rPr>
      </w:pPr>
      <w:r>
        <w:rPr>
          <w:rFonts w:ascii="Arial" w:cs="Arial" w:eastAsia="Arial" w:hAnsi="Arial"/>
          <w:sz w:val="13"/>
          <w:szCs w:val="13"/>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120015</wp:posOffset>
            </wp:positionV>
            <wp:extent cx="179514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5145" cy="5715"/>
                    </a:xfrm>
                    <a:prstGeom prst="rect">
                      <a:avLst/>
                    </a:prstGeom>
                    <a:noFill/>
                  </pic:spPr>
                </pic:pic>
              </a:graphicData>
            </a:graphic>
          </wp:anchor>
        </w:drawing>
      </w:r>
    </w:p>
    <w:p>
      <w:pPr>
        <w:spacing w:after="0" w:line="363"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11 Wenliang Street</w:t>
      </w:r>
    </w:p>
    <w:p>
      <w:pPr>
        <w:spacing w:after="0" w:line="12"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Shunyi District, Beijing 101399</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13"/>
          <w:szCs w:val="13"/>
          <w:b w:val="1"/>
          <w:bCs w:val="1"/>
          <w:color w:val="auto"/>
        </w:rPr>
        <w:t>People’s Republic of China</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120650</wp:posOffset>
            </wp:positionV>
            <wp:extent cx="179514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5145" cy="5715"/>
                    </a:xfrm>
                    <a:prstGeom prst="rect">
                      <a:avLst/>
                    </a:prstGeom>
                    <a:noFill/>
                  </pic:spPr>
                </pic:pic>
              </a:graphicData>
            </a:graphic>
          </wp:anchor>
        </w:drawing>
      </w:r>
    </w:p>
    <w:p>
      <w:pPr>
        <w:spacing w:after="0" w:line="368"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files or will file annual reports under cover Form 20-F or Form 40-F.</w:t>
      </w:r>
    </w:p>
    <w:p>
      <w:pPr>
        <w:spacing w:after="0" w:line="118" w:lineRule="exact"/>
        <w:rPr>
          <w:sz w:val="24"/>
          <w:szCs w:val="24"/>
          <w:color w:val="auto"/>
        </w:rPr>
      </w:pPr>
    </w:p>
    <w:p>
      <w:pPr>
        <w:ind w:left="4820"/>
        <w:spacing w:after="0" w:line="150" w:lineRule="exact"/>
        <w:rPr>
          <w:sz w:val="20"/>
          <w:szCs w:val="20"/>
          <w:color w:val="auto"/>
        </w:rPr>
      </w:pPr>
      <w:r>
        <w:rPr>
          <w:rFonts w:ascii="Arial" w:cs="Arial" w:eastAsia="Arial" w:hAnsi="Arial"/>
          <w:sz w:val="13"/>
          <w:szCs w:val="13"/>
          <w:color w:val="auto"/>
        </w:rPr>
        <w:t xml:space="preserve">Form 20-F </w:t>
      </w:r>
      <w:r>
        <w:rPr>
          <w:rFonts w:ascii="MS PGothic" w:cs="MS PGothic" w:eastAsia="MS PGothic" w:hAnsi="MS PGothic"/>
          <w:sz w:val="13"/>
          <w:szCs w:val="13"/>
          <w:color w:val="auto"/>
        </w:rPr>
        <w:t>☒</w:t>
      </w:r>
      <w:r>
        <w:rPr>
          <w:rFonts w:ascii="Arial" w:cs="Arial" w:eastAsia="Arial" w:hAnsi="Arial"/>
          <w:sz w:val="13"/>
          <w:szCs w:val="13"/>
          <w:color w:val="auto"/>
        </w:rPr>
        <w:t xml:space="preserve">           Form 40-F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122555</wp:posOffset>
            </wp:positionV>
            <wp:extent cx="717423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23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133985</wp:posOffset>
            </wp:positionV>
            <wp:extent cx="7174230" cy="12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230" cy="120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444500</wp:posOffset>
            </wp:positionV>
            <wp:extent cx="717423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230" cy="5715"/>
                    </a:xfrm>
                    <a:prstGeom prst="rect">
                      <a:avLst/>
                    </a:prstGeom>
                    <a:noFill/>
                  </pic:spPr>
                </pic:pic>
              </a:graphicData>
            </a:graphic>
          </wp:anchor>
        </w:drawing>
      </w:r>
    </w:p>
    <w:p>
      <w:pPr>
        <w:sectPr>
          <w:pgSz w:w="11900" w:h="16838" w:orient="portrait"/>
          <w:cols w:equalWidth="0" w:num="1">
            <w:col w:w="10159"/>
          </w:cols>
          <w:pgMar w:left="300" w:top="536" w:right="1440" w:bottom="1440" w:gutter="0" w:footer="0" w:header="0"/>
        </w:sectPr>
      </w:pPr>
    </w:p>
    <w:bookmarkStart w:id="1" w:name="page2"/>
    <w:bookmarkEnd w:id="1"/>
    <w:p>
      <w:pPr>
        <w:jc w:val="center"/>
        <w:ind w:right="-339"/>
        <w:spacing w:after="0"/>
        <w:rPr>
          <w:sz w:val="20"/>
          <w:szCs w:val="20"/>
          <w:color w:val="auto"/>
        </w:rPr>
      </w:pPr>
      <w:r>
        <w:rPr>
          <w:rFonts w:ascii="Arial" w:cs="Arial" w:eastAsia="Arial" w:hAnsi="Arial"/>
          <w:sz w:val="13"/>
          <w:szCs w:val="13"/>
          <w:b w:val="1"/>
          <w:bCs w:val="1"/>
          <w:color w:val="auto"/>
        </w:rPr>
        <w:t>EXPLANATORY NOTE</w:t>
      </w:r>
    </w:p>
    <w:p>
      <w:pPr>
        <w:spacing w:after="0" w:line="155" w:lineRule="exact"/>
        <w:rPr>
          <w:sz w:val="20"/>
          <w:szCs w:val="20"/>
          <w:color w:val="auto"/>
        </w:rPr>
      </w:pPr>
    </w:p>
    <w:p>
      <w:pPr>
        <w:ind w:firstLine="451"/>
        <w:spacing w:after="0" w:line="254" w:lineRule="auto"/>
        <w:rPr>
          <w:sz w:val="20"/>
          <w:szCs w:val="20"/>
          <w:color w:val="auto"/>
        </w:rPr>
      </w:pPr>
      <w:r>
        <w:rPr>
          <w:rFonts w:ascii="Arial" w:cs="Arial" w:eastAsia="Arial" w:hAnsi="Arial"/>
          <w:sz w:val="13"/>
          <w:szCs w:val="13"/>
          <w:color w:val="auto"/>
        </w:rPr>
        <w:t>We submitted a monthly return form dated June 6, 2023 with The Stock Exchange of Hong Kong Limited in relation to the movements in our authorized share capital and issued shares in May 2023. For details, please refer to Exhibit 99.1 to this current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294005</wp:posOffset>
            </wp:positionV>
            <wp:extent cx="717423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230" cy="5715"/>
                    </a:xfrm>
                    <a:prstGeom prst="rect">
                      <a:avLst/>
                    </a:prstGeom>
                    <a:noFill/>
                  </pic:spPr>
                </pic:pic>
              </a:graphicData>
            </a:graphic>
          </wp:anchor>
        </w:drawing>
      </w:r>
    </w:p>
    <w:p>
      <w:pPr>
        <w:sectPr>
          <w:pgSz w:w="11900" w:h="16838" w:orient="portrait"/>
          <w:cols w:equalWidth="0" w:num="1">
            <w:col w:w="10960"/>
          </w:cols>
          <w:pgMar w:left="300" w:top="671" w:right="6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60" w:type="dxa"/>
            <w:vAlign w:val="bottom"/>
            <w:gridSpan w:val="2"/>
          </w:tcPr>
          <w:p>
            <w:pPr>
              <w:ind w:left="3920"/>
              <w:spacing w:after="0"/>
              <w:rPr>
                <w:sz w:val="20"/>
                <w:szCs w:val="20"/>
                <w:color w:val="auto"/>
              </w:rPr>
            </w:pPr>
            <w:r>
              <w:rPr>
                <w:rFonts w:ascii="Arial" w:cs="Arial" w:eastAsia="Arial" w:hAnsi="Arial"/>
                <w:sz w:val="13"/>
                <w:szCs w:val="13"/>
                <w:b w:val="1"/>
                <w:bCs w:val="1"/>
                <w:color w:val="auto"/>
              </w:rPr>
              <w:t>EXHIBIT INDEX</w:t>
            </w:r>
          </w:p>
        </w:tc>
      </w:tr>
      <w:tr>
        <w:trPr>
          <w:trHeight w:val="306"/>
        </w:trPr>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Exhibit No.</w:t>
            </w:r>
          </w:p>
        </w:tc>
        <w:tc>
          <w:tcPr>
            <w:tcW w:w="120" w:type="dxa"/>
            <w:vAlign w:val="bottom"/>
          </w:tcPr>
          <w:p>
            <w:pPr>
              <w:spacing w:after="0"/>
              <w:rPr>
                <w:sz w:val="24"/>
                <w:szCs w:val="24"/>
                <w:color w:val="auto"/>
              </w:rPr>
            </w:pPr>
          </w:p>
        </w:tc>
        <w:tc>
          <w:tcPr>
            <w:tcW w:w="10060" w:type="dxa"/>
            <w:vAlign w:val="bottom"/>
            <w:tcBorders>
              <w:bottom w:val="single" w:sz="8" w:color="auto"/>
            </w:tcBorders>
            <w:gridSpan w:val="2"/>
          </w:tcPr>
          <w:p>
            <w:pPr>
              <w:ind w:left="4720"/>
              <w:spacing w:after="0"/>
              <w:rPr>
                <w:sz w:val="20"/>
                <w:szCs w:val="20"/>
                <w:color w:val="auto"/>
              </w:rPr>
            </w:pPr>
            <w:r>
              <w:rPr>
                <w:rFonts w:ascii="Arial" w:cs="Arial" w:eastAsia="Arial" w:hAnsi="Arial"/>
                <w:sz w:val="13"/>
                <w:szCs w:val="13"/>
                <w:b w:val="1"/>
                <w:bCs w:val="1"/>
                <w:color w:val="auto"/>
              </w:rPr>
              <w:t>Description</w:t>
            </w:r>
          </w:p>
        </w:tc>
      </w:tr>
      <w:tr>
        <w:trPr>
          <w:trHeight w:val="117"/>
        </w:trPr>
        <w:tc>
          <w:tcPr>
            <w:tcW w:w="1120" w:type="dxa"/>
            <w:vAlign w:val="bottom"/>
            <w:gridSpan w:val="3"/>
          </w:tcPr>
          <w:p>
            <w:pPr>
              <w:jc w:val="center"/>
              <w:ind w:right="440"/>
              <w:spacing w:after="0" w:line="117" w:lineRule="exact"/>
              <w:rPr>
                <w:sz w:val="20"/>
                <w:szCs w:val="20"/>
                <w:color w:val="auto"/>
              </w:rPr>
            </w:pPr>
            <w:r>
              <w:rPr>
                <w:rFonts w:ascii="Arial" w:cs="Arial" w:eastAsia="Arial" w:hAnsi="Arial"/>
                <w:sz w:val="13"/>
                <w:szCs w:val="13"/>
                <w:color w:val="0000EE"/>
              </w:rPr>
              <w:t>99.</w:t>
            </w:r>
            <w:r>
              <w:rPr>
                <w:rFonts w:ascii="Arial" w:cs="Arial" w:eastAsia="Arial" w:hAnsi="Arial"/>
                <w:sz w:val="13"/>
                <w:szCs w:val="13"/>
                <w:u w:val="single" w:color="auto"/>
                <w:color w:val="0000EE"/>
              </w:rPr>
              <w:t>1</w:t>
            </w:r>
          </w:p>
        </w:tc>
        <w:tc>
          <w:tcPr>
            <w:tcW w:w="120" w:type="dxa"/>
            <w:vAlign w:val="bottom"/>
          </w:tcPr>
          <w:p>
            <w:pPr>
              <w:spacing w:after="0"/>
              <w:rPr>
                <w:sz w:val="10"/>
                <w:szCs w:val="10"/>
                <w:color w:val="auto"/>
              </w:rPr>
            </w:pPr>
          </w:p>
        </w:tc>
        <w:tc>
          <w:tcPr>
            <w:tcW w:w="10060" w:type="dxa"/>
            <w:vAlign w:val="bottom"/>
            <w:gridSpan w:val="2"/>
          </w:tcPr>
          <w:p>
            <w:pPr>
              <w:spacing w:after="0" w:line="117" w:lineRule="exact"/>
              <w:rPr>
                <w:sz w:val="20"/>
                <w:szCs w:val="20"/>
                <w:color w:val="auto"/>
              </w:rPr>
            </w:pPr>
            <w:r>
              <w:rPr>
                <w:rFonts w:ascii="Arial" w:cs="Arial" w:eastAsia="Arial" w:hAnsi="Arial"/>
                <w:sz w:val="13"/>
                <w:szCs w:val="13"/>
                <w:color w:val="0000EE"/>
              </w:rPr>
              <w:t>Monthly Return for Equity Issuer and Hong Kong Depositary Receipts listed under Chapter 19B of the Exchange Listing Rules on Movements in Securities</w:t>
            </w:r>
          </w:p>
        </w:tc>
      </w:tr>
      <w:tr>
        <w:trPr>
          <w:trHeight w:val="478"/>
        </w:trPr>
        <w:tc>
          <w:tcPr>
            <w:tcW w:w="460" w:type="dxa"/>
            <w:vAlign w:val="bottom"/>
            <w:tcBorders>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20" w:type="dxa"/>
            <w:vAlign w:val="bottom"/>
            <w:tcBorders>
              <w:top w:val="single" w:sz="8" w:color="0000EE"/>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71"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b w:val="1"/>
          <w:bCs w:val="1"/>
          <w:color w:val="auto"/>
        </w:rPr>
        <w:t>SIGNATURES</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p>
      <w:pPr>
        <w:ind w:left="5640"/>
        <w:spacing w:after="0"/>
        <w:rPr>
          <w:sz w:val="20"/>
          <w:szCs w:val="20"/>
          <w:color w:val="auto"/>
        </w:rPr>
      </w:pPr>
      <w:r>
        <w:rPr>
          <w:rFonts w:ascii="Arial" w:cs="Arial" w:eastAsia="Arial" w:hAnsi="Arial"/>
          <w:sz w:val="13"/>
          <w:szCs w:val="13"/>
          <w:b w:val="1"/>
          <w:bCs w:val="1"/>
          <w:color w:val="auto"/>
        </w:rPr>
        <w:t>Li Auto Inc.</w:t>
      </w:r>
    </w:p>
    <w:p>
      <w:pPr>
        <w:spacing w:after="0" w:line="155" w:lineRule="exact"/>
        <w:rPr>
          <w:sz w:val="20"/>
          <w:szCs w:val="20"/>
          <w:color w:val="auto"/>
        </w:rPr>
      </w:pPr>
    </w:p>
    <w:tbl>
      <w:tblPr>
        <w:tblLayout w:type="fixed"/>
        <w:tblInd w:w="5640" w:type="dxa"/>
        <w:tblCellMar>
          <w:top w:w="0" w:type="dxa"/>
          <w:left w:w="0" w:type="dxa"/>
          <w:bottom w:w="0" w:type="dxa"/>
          <w:right w:w="0" w:type="dxa"/>
        </w:tblCellMar>
      </w:tblPr>
      <w:tr>
        <w:trPr>
          <w:trHeight w:val="158"/>
        </w:trPr>
        <w:tc>
          <w:tcPr>
            <w:tcW w:w="560" w:type="dxa"/>
            <w:vAlign w:val="bottom"/>
          </w:tcPr>
          <w:p>
            <w:pPr>
              <w:spacing w:after="0"/>
              <w:rPr>
                <w:sz w:val="20"/>
                <w:szCs w:val="20"/>
                <w:color w:val="auto"/>
              </w:rPr>
            </w:pPr>
            <w:r>
              <w:rPr>
                <w:rFonts w:ascii="Arial" w:cs="Arial" w:eastAsia="Arial" w:hAnsi="Arial"/>
                <w:sz w:val="13"/>
                <w:szCs w:val="13"/>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Tie Li</w:t>
            </w:r>
          </w:p>
        </w:tc>
      </w:tr>
      <w:tr>
        <w:trPr>
          <w:trHeight w:val="132"/>
        </w:trPr>
        <w:tc>
          <w:tcPr>
            <w:tcW w:w="560" w:type="dxa"/>
            <w:vAlign w:val="bottom"/>
          </w:tcPr>
          <w:p>
            <w:pPr>
              <w:spacing w:after="0" w:line="133" w:lineRule="exact"/>
              <w:rPr>
                <w:sz w:val="20"/>
                <w:szCs w:val="20"/>
                <w:color w:val="auto"/>
              </w:rPr>
            </w:pPr>
            <w:r>
              <w:rPr>
                <w:rFonts w:ascii="Arial" w:cs="Arial" w:eastAsia="Arial" w:hAnsi="Arial"/>
                <w:sz w:val="13"/>
                <w:szCs w:val="13"/>
                <w:color w:val="auto"/>
              </w:rPr>
              <w:t>Name:</w:t>
            </w:r>
          </w:p>
        </w:tc>
        <w:tc>
          <w:tcPr>
            <w:tcW w:w="5100" w:type="dxa"/>
            <w:vAlign w:val="bottom"/>
          </w:tcPr>
          <w:p>
            <w:pPr>
              <w:spacing w:after="0" w:line="133" w:lineRule="exact"/>
              <w:rPr>
                <w:sz w:val="20"/>
                <w:szCs w:val="20"/>
                <w:color w:val="auto"/>
              </w:rPr>
            </w:pPr>
            <w:r>
              <w:rPr>
                <w:rFonts w:ascii="Arial" w:cs="Arial" w:eastAsia="Arial" w:hAnsi="Arial"/>
                <w:sz w:val="13"/>
                <w:szCs w:val="13"/>
                <w:color w:val="auto"/>
              </w:rPr>
              <w:t>Tie Li</w:t>
            </w:r>
          </w:p>
        </w:tc>
      </w:tr>
      <w:tr>
        <w:trPr>
          <w:trHeight w:val="158"/>
        </w:trPr>
        <w:tc>
          <w:tcPr>
            <w:tcW w:w="560" w:type="dxa"/>
            <w:vAlign w:val="bottom"/>
          </w:tcPr>
          <w:p>
            <w:pPr>
              <w:spacing w:after="0"/>
              <w:rPr>
                <w:sz w:val="20"/>
                <w:szCs w:val="20"/>
                <w:color w:val="auto"/>
              </w:rPr>
            </w:pPr>
            <w:r>
              <w:rPr>
                <w:rFonts w:ascii="Arial" w:cs="Arial" w:eastAsia="Arial" w:hAnsi="Arial"/>
                <w:sz w:val="13"/>
                <w:szCs w:val="13"/>
                <w:color w:val="auto"/>
              </w:rPr>
              <w:t>Title:</w:t>
            </w:r>
          </w:p>
        </w:tc>
        <w:tc>
          <w:tcPr>
            <w:tcW w:w="5100" w:type="dxa"/>
            <w:vAlign w:val="bottom"/>
          </w:tcPr>
          <w:p>
            <w:pPr>
              <w:spacing w:after="0"/>
              <w:rPr>
                <w:sz w:val="20"/>
                <w:szCs w:val="20"/>
                <w:color w:val="auto"/>
              </w:rPr>
            </w:pPr>
            <w:r>
              <w:rPr>
                <w:rFonts w:ascii="Arial" w:cs="Arial" w:eastAsia="Arial" w:hAnsi="Arial"/>
                <w:sz w:val="13"/>
                <w:szCs w:val="13"/>
                <w:color w:val="auto"/>
              </w:rPr>
              <w:t>Director and Chief Financial Officer</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Date: June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304165</wp:posOffset>
            </wp:positionV>
            <wp:extent cx="71742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230" cy="5715"/>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4" w:name="page5"/>
    <w:bookmarkEnd w:id="4"/>
    <w:p>
      <w:pPr>
        <w:ind w:left="9500"/>
        <w:spacing w:after="0"/>
        <w:rPr>
          <w:sz w:val="20"/>
          <w:szCs w:val="20"/>
          <w:color w:val="auto"/>
        </w:rPr>
      </w:pPr>
      <w:r>
        <w:rPr>
          <w:rFonts w:ascii="Arial" w:cs="Arial" w:eastAsia="Arial" w:hAnsi="Arial"/>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23495</wp:posOffset>
            </wp:positionV>
            <wp:extent cx="6965315" cy="5176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5315" cy="5176520"/>
                    </a:xfrm>
                    <a:prstGeom prst="rect">
                      <a:avLst/>
                    </a:prstGeom>
                    <a:noFill/>
                  </pic:spPr>
                </pic:pic>
              </a:graphicData>
            </a:graphic>
          </wp:anchor>
        </w:drawing>
      </w:r>
    </w:p>
    <w:p>
      <w:pPr>
        <w:sectPr>
          <w:pgSz w:w="11900" w:h="16838" w:orient="portrait"/>
          <w:cols w:equalWidth="0" w:num="1">
            <w:col w:w="10160"/>
          </w:cols>
          <w:pgMar w:left="1440" w:top="127"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229235</wp:posOffset>
            </wp:positionH>
            <wp:positionV relativeFrom="page">
              <wp:posOffset>88900</wp:posOffset>
            </wp:positionV>
            <wp:extent cx="6965315" cy="5176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65315" cy="5176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229235</wp:posOffset>
            </wp:positionH>
            <wp:positionV relativeFrom="page">
              <wp:posOffset>88900</wp:posOffset>
            </wp:positionV>
            <wp:extent cx="6965315" cy="51765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65315" cy="5176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229235</wp:posOffset>
            </wp:positionH>
            <wp:positionV relativeFrom="page">
              <wp:posOffset>88900</wp:posOffset>
            </wp:positionV>
            <wp:extent cx="6965315" cy="51765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5315" cy="5176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229235</wp:posOffset>
            </wp:positionH>
            <wp:positionV relativeFrom="page">
              <wp:posOffset>88900</wp:posOffset>
            </wp:positionV>
            <wp:extent cx="6965315" cy="51765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5315" cy="5176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229235</wp:posOffset>
            </wp:positionH>
            <wp:positionV relativeFrom="page">
              <wp:posOffset>88900</wp:posOffset>
            </wp:positionV>
            <wp:extent cx="6965315" cy="5176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5315" cy="5176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229235</wp:posOffset>
            </wp:positionH>
            <wp:positionV relativeFrom="page">
              <wp:posOffset>88900</wp:posOffset>
            </wp:positionV>
            <wp:extent cx="6965315" cy="51765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5315" cy="5176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229235</wp:posOffset>
            </wp:positionH>
            <wp:positionV relativeFrom="page">
              <wp:posOffset>88900</wp:posOffset>
            </wp:positionV>
            <wp:extent cx="6965315" cy="5176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65315" cy="51765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2023-06-06T07:21:37Z</dcterms:created>
  <dcterms:modified xsi:type="dcterms:W3CDTF">2023-06-06T07:21:37Z</dcterms:modified>
</cp:coreProperties>
</file>