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Li Auto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 Wenliang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Shunyi District, Beijing 101399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1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60" w:type="dxa"/>
            <w:vAlign w:val="bottom"/>
            <w:gridSpan w:val="3"/>
          </w:tcPr>
          <w:p>
            <w:pPr>
              <w:ind w:left="32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58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9560" w:type="dxa"/>
            <w:vAlign w:val="bottom"/>
            <w:gridSpan w:val="3"/>
          </w:tcPr>
          <w:p>
            <w:pPr>
              <w:ind w:left="42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0000EE"/>
            </w:tcBorders>
          </w:tcPr>
          <w:p>
            <w:pPr>
              <w:jc w:val="right"/>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580" w:type="dxa"/>
            <w:vAlign w:val="bottom"/>
            <w:tcBorders>
              <w:top w:val="single" w:sz="8" w:color="auto"/>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Li Auto Inc. Announces Unaudited Fourth Quarter and Full Year 2024 Financial Results</w:t>
            </w:r>
          </w:p>
        </w:tc>
        <w:tc>
          <w:tcPr>
            <w:tcW w:w="1980" w:type="dxa"/>
            <w:vAlign w:val="bottom"/>
            <w:tcBorders>
              <w:top w:val="single" w:sz="8" w:color="auto"/>
            </w:tcBorders>
          </w:tcPr>
          <w:p>
            <w:pPr>
              <w:spacing w:after="0"/>
              <w:rPr>
                <w:sz w:val="14"/>
                <w:szCs w:val="14"/>
                <w:color w:val="auto"/>
              </w:rPr>
            </w:pPr>
          </w:p>
        </w:tc>
      </w:tr>
      <w:tr>
        <w:trPr>
          <w:trHeight w:val="412"/>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Announcement—Annual Results Announcement for the Year Ended December 31, 2024</w:t>
            </w:r>
          </w:p>
        </w:tc>
      </w:tr>
      <w:tr>
        <w:trPr>
          <w:trHeight w:val="695"/>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0" w:type="dxa"/>
            <w:vAlign w:val="bottom"/>
            <w:tcBorders>
              <w:top w:val="single" w:sz="8" w:color="0000EE"/>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Tie Li</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Tie Li</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842770"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4277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 Auto Inc. Announces Unaudited Fourth Quarter and Full Year 2024 Financial Results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Quarterly total revenues reached RMB44.3 billion (US$6.1 billion)</w:t>
      </w:r>
      <w:r>
        <w:rPr>
          <w:rFonts w:ascii="Times New Roman" w:cs="Times New Roman" w:eastAsia="Times New Roman" w:hAnsi="Times New Roman"/>
          <w:sz w:val="29"/>
          <w:szCs w:val="29"/>
          <w:color w:val="auto"/>
          <w:vertAlign w:val="superscript"/>
        </w:rPr>
        <w:t>1</w:t>
      </w:r>
    </w:p>
    <w:p>
      <w:pPr>
        <w:jc w:val="center"/>
        <w:spacing w:after="0"/>
        <w:rPr>
          <w:sz w:val="20"/>
          <w:szCs w:val="20"/>
          <w:color w:val="auto"/>
        </w:rPr>
      </w:pPr>
      <w:r>
        <w:rPr>
          <w:rFonts w:ascii="Times New Roman" w:cs="Times New Roman" w:eastAsia="Times New Roman" w:hAnsi="Times New Roman"/>
          <w:sz w:val="18"/>
          <w:szCs w:val="18"/>
          <w:color w:val="auto"/>
        </w:rPr>
        <w:t>Quarterly deliveries reached 158,696 vehicles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year total revenues reached RMB144.5 billion (US$19.8 billion)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year deliveries were 500,508 vehicles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BEIJING, China, March 14, 2025 — Li Auto Inc. (“Li Auto” or the “Company”) (Nasdaq: LI; HKEX: 2015), a leader in China’s new energy vehicle market, today announced its unaudited financial results for the quarter and full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Highlights for the Fourth Quarter of 2024 and Full Year 2024</w:t>
      </w:r>
    </w:p>
    <w:p>
      <w:pPr>
        <w:spacing w:after="0" w:line="229"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deliveries for the fourth quarter of 2024 were 158,696 vehicles, representing a 20.4% year-over-year increase.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deliveries for the full year 2024 reached 500,508 vehicles, representing an increase of 33.1% from 376,030 vehicles in 2023.</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52"/>
        </w:trPr>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FY 2024</w:t>
            </w:r>
          </w:p>
        </w:tc>
        <w:tc>
          <w:tcPr>
            <w:tcW w:w="16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2024 Q4</w:t>
            </w:r>
          </w:p>
        </w:tc>
        <w:tc>
          <w:tcPr>
            <w:tcW w:w="16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2024 Q3</w:t>
            </w:r>
          </w:p>
        </w:tc>
        <w:tc>
          <w:tcPr>
            <w:tcW w:w="160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2024 Q2</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2024 Q1</w:t>
            </w:r>
          </w:p>
        </w:tc>
      </w:tr>
      <w:tr>
        <w:trPr>
          <w:trHeight w:val="209"/>
        </w:trPr>
        <w:tc>
          <w:tcPr>
            <w:tcW w:w="1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Deliveries</w:t>
            </w: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500,508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158,696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FY 2023</w:t>
            </w:r>
          </w:p>
        </w:tc>
        <w:tc>
          <w:tcPr>
            <w:tcW w:w="16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2023 Q4</w:t>
            </w:r>
          </w:p>
        </w:tc>
        <w:tc>
          <w:tcPr>
            <w:tcW w:w="16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2023 Q3</w:t>
            </w:r>
          </w:p>
        </w:tc>
        <w:tc>
          <w:tcPr>
            <w:tcW w:w="16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2023 Q2</w:t>
            </w: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2023 Q1</w:t>
            </w:r>
          </w:p>
        </w:tc>
      </w:tr>
      <w:tr>
        <w:trPr>
          <w:trHeight w:val="209"/>
        </w:trPr>
        <w:tc>
          <w:tcPr>
            <w:tcW w:w="1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Deliveries</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376,030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in China, the Company had 502 retail stores in 150 cities, 478 servicing centers and Li Auto-authorized body and paint shops operating in 225 cities, and 1,727 super charging stations in operation equipped with 9,100 charging stalls.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 for the Fourth Quarter of 2024</w:t>
      </w:r>
    </w:p>
    <w:p>
      <w:pPr>
        <w:spacing w:after="0" w:line="225" w:lineRule="exact"/>
        <w:rPr>
          <w:sz w:val="20"/>
          <w:szCs w:val="20"/>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were RMB42.6 billion (US$5.8 billion) in the fourth quarter of 2024, representing an increase of 5.6% from RMB40.4 billion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quarter of 2023 and an increase of 3.2% from RMB41.3 billion in the third quarter of 2024.</w:t>
      </w:r>
    </w:p>
    <w:p>
      <w:pPr>
        <w:spacing w:after="0" w:line="14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Vehicle margin</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19.7% in the fourth quarter of 2024, compared with 22.7% in the fourth quarter of 2023 and 20.9% in the third quarter of 2024.</w:t>
      </w:r>
    </w:p>
    <w:p>
      <w:pPr>
        <w:spacing w:after="0" w:line="77" w:lineRule="exact"/>
        <w:rPr>
          <w:rFonts w:ascii="Times New Roman" w:cs="Times New Roman" w:eastAsia="Times New Roman" w:hAnsi="Times New Roman"/>
          <w:sz w:val="36"/>
          <w:szCs w:val="36"/>
          <w:color w:val="auto"/>
          <w:vertAlign w:val="superscript"/>
        </w:rPr>
      </w:pPr>
    </w:p>
    <w:p>
      <w:pPr>
        <w:ind w:left="340" w:hanging="332"/>
        <w:spacing w:after="0" w:line="279"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RMB44.3 billion (US$6.1 billion) in the fourth quarter of 2024, representing an increase of 6.1% from RMB41.7 billion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quarter of 2023 and an increase of 3.3% from RMB42.9 billion in the third quarter of 2024.</w:t>
      </w:r>
    </w:p>
    <w:p>
      <w:pPr>
        <w:spacing w:after="0" w:line="160"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RMB9.0 billion (US$1.2 billion) in the fourth quarter of 2024, representing a decrease of 8.3% from RMB9.8 billion in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and a decrease of 2.8% from RMB9.2 billion in the third quarter of 2024.</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20.3% in the fourth quarter of 2024, compared with 23.5% in the fourth quarter of 2023 and 21.5% in the third quarter of 2024.</w:t>
      </w:r>
    </w:p>
    <w:p>
      <w:pPr>
        <w:spacing w:after="0" w:line="225"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RMB5.3 billion (US$721.6 million) in the fourth quarter of 2024, representing a decrease of 22.0% from RMB6.8 billion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fourth quarter of 2023 and a decrease of 9.1% from RMB5.8 billion in the third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4" w:lineRule="exact"/>
        <w:rPr>
          <w:sz w:val="20"/>
          <w:szCs w:val="20"/>
          <w:color w:val="auto"/>
        </w:rPr>
      </w:pPr>
    </w:p>
    <w:p>
      <w:pPr>
        <w:ind w:firstLine="8"/>
        <w:spacing w:after="0" w:line="196" w:lineRule="auto"/>
        <w:tabs>
          <w:tab w:leader="none" w:pos="112" w:val="left"/>
        </w:tabs>
        <w:numPr>
          <w:ilvl w:val="0"/>
          <w:numId w:val="4"/>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All translations from Renminbi (“RMB”) to U.S. dollars (“US$”) are made at a rate of RMB7.2993 to US$1.00, the exchange rate on December 31, 2024 as set forth in the H.10 statistical release of the Federal Reserve Board.</w:t>
      </w:r>
    </w:p>
    <w:p>
      <w:pPr>
        <w:spacing w:after="0" w:line="238" w:lineRule="exact"/>
        <w:rPr>
          <w:sz w:val="20"/>
          <w:szCs w:val="20"/>
          <w:color w:val="auto"/>
        </w:rPr>
      </w:pPr>
    </w:p>
    <w:p>
      <w:pPr>
        <w:ind w:left="5560" w:right="1520" w:hanging="5552"/>
        <w:spacing w:after="0" w:line="625" w:lineRule="auto"/>
        <w:tabs>
          <w:tab w:leader="none" w:pos="124" w:val="left"/>
        </w:tabs>
        <w:numPr>
          <w:ilvl w:val="0"/>
          <w:numId w:val="5"/>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 xml:space="preserve">Vehicle margin is the margin of vehicle sales, which is calculated based on revenues and cost of sales derived from vehicle sales only. </w:t>
      </w: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332" w:hanging="332"/>
        <w:spacing w:after="0" w:line="286" w:lineRule="auto"/>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RMB3.7 billion (US$507.4 million) in the fourth quarter of 2024, representing an increase of 22.0% from RMB3.0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in the fourth quarter of 2023 and an increase of 7.9% from RMB3.4 billion in the third quarter of 2024.</w:t>
      </w:r>
    </w:p>
    <w:p>
      <w:pPr>
        <w:spacing w:after="0" w:line="15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margin </w:t>
      </w:r>
      <w:r>
        <w:rPr>
          <w:rFonts w:ascii="Times New Roman" w:cs="Times New Roman" w:eastAsia="Times New Roman" w:hAnsi="Times New Roman"/>
          <w:sz w:val="18"/>
          <w:szCs w:val="18"/>
          <w:color w:val="auto"/>
        </w:rPr>
        <w:t>was 8.4% in the fourth quarter of 2024, compared with 7.3% in the fourth quarter of 2023 and 8.0% in the third quarter of 2024.</w:t>
      </w:r>
    </w:p>
    <w:p>
      <w:pPr>
        <w:spacing w:after="0" w:line="225" w:lineRule="exact"/>
        <w:rPr>
          <w:rFonts w:ascii="Times New Roman" w:cs="Times New Roman" w:eastAsia="Times New Roman" w:hAnsi="Times New Roman"/>
          <w:sz w:val="18"/>
          <w:szCs w:val="18"/>
          <w:color w:val="auto"/>
        </w:rPr>
      </w:pPr>
    </w:p>
    <w:p>
      <w:pPr>
        <w:jc w:val="both"/>
        <w:ind w:left="332" w:hanging="332"/>
        <w:spacing w:after="0" w:line="233" w:lineRule="auto"/>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RMB3.5 billion (US$484.0 million) in the fourth quarter of 2024, representing a decrease of 38.6% from RMB5.8 billion in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quarter of 2023 and an increase of 25.3% from RMB2.8 billion in the third quarter of 2024. </w:t>
      </w: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color w:val="auto"/>
        </w:rPr>
        <w:t xml:space="preserve"> was RMB4.0 billion (US$553.4 million) in the fourth quarter of 2024, representing a decrease of 12.0% from RMB4.6 billion in the fourth quarter of 2023 and an increase of 4.9% from RMB3.9 billion in the third quarter of 2024.</w:t>
      </w:r>
    </w:p>
    <w:p>
      <w:pPr>
        <w:spacing w:after="0" w:line="197" w:lineRule="exact"/>
        <w:rPr>
          <w:rFonts w:ascii="Times New Roman" w:cs="Times New Roman" w:eastAsia="Times New Roman" w:hAnsi="Times New Roman"/>
          <w:sz w:val="18"/>
          <w:szCs w:val="18"/>
          <w:color w:val="auto"/>
        </w:rPr>
      </w:pPr>
    </w:p>
    <w:p>
      <w:pPr>
        <w:jc w:val="both"/>
        <w:ind w:left="332" w:right="20" w:hanging="332"/>
        <w:spacing w:after="0" w:line="214" w:lineRule="auto"/>
        <w:tabs>
          <w:tab w:leader="none" w:pos="332"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Diluted net earnings per ADS</w:t>
      </w:r>
      <w:r>
        <w:rPr>
          <w:rFonts w:ascii="Times New Roman" w:cs="Times New Roman" w:eastAsia="Times New Roman" w:hAnsi="Times New Roman"/>
          <w:sz w:val="29"/>
          <w:szCs w:val="29"/>
          <w:b w:val="1"/>
          <w:bCs w:val="1"/>
          <w:color w:val="auto"/>
          <w:vertAlign w:val="superscript"/>
        </w:rPr>
        <w:t>4</w:t>
      </w:r>
      <w:r>
        <w:rPr>
          <w:rFonts w:ascii="Times New Roman" w:cs="Times New Roman" w:eastAsia="Times New Roman" w:hAnsi="Times New Roman"/>
          <w:sz w:val="18"/>
          <w:szCs w:val="18"/>
          <w:b w:val="1"/>
          <w:bCs w:val="1"/>
          <w:color w:val="auto"/>
        </w:rPr>
        <w:t xml:space="preserve"> attributable to ordinary shareholders </w:t>
      </w:r>
      <w:r>
        <w:rPr>
          <w:rFonts w:ascii="Times New Roman" w:cs="Times New Roman" w:eastAsia="Times New Roman" w:hAnsi="Times New Roman"/>
          <w:sz w:val="18"/>
          <w:szCs w:val="18"/>
          <w:color w:val="auto"/>
        </w:rPr>
        <w:t>was RMB3.31 (US$0.45) in the fourth quarter of 2024, compared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RMB5.32 in the fourth quarter of 2023 and RMB2.66 in the third quarter of 2024. </w:t>
      </w:r>
      <w:r>
        <w:rPr>
          <w:rFonts w:ascii="Times New Roman" w:cs="Times New Roman" w:eastAsia="Times New Roman" w:hAnsi="Times New Roman"/>
          <w:sz w:val="18"/>
          <w:szCs w:val="18"/>
          <w:b w:val="1"/>
          <w:bCs w:val="1"/>
          <w:color w:val="auto"/>
        </w:rPr>
        <w:t>Non-GAAP diluted net earnings per ADS attributable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ordinary shareholders </w:t>
      </w:r>
      <w:r>
        <w:rPr>
          <w:rFonts w:ascii="Times New Roman" w:cs="Times New Roman" w:eastAsia="Times New Roman" w:hAnsi="Times New Roman"/>
          <w:sz w:val="18"/>
          <w:szCs w:val="18"/>
          <w:color w:val="auto"/>
        </w:rPr>
        <w:t>was RMB3.79 (US$0.52) in the fourth quarter of 2024, compared with RMB4.23 in the fourth quarter of 2023 and RMB3.63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third quarter of 2024.</w:t>
      </w:r>
    </w:p>
    <w:p>
      <w:pPr>
        <w:spacing w:after="0" w:line="194" w:lineRule="exact"/>
        <w:rPr>
          <w:rFonts w:ascii="Times New Roman" w:cs="Times New Roman" w:eastAsia="Times New Roman" w:hAnsi="Times New Roman"/>
          <w:sz w:val="36"/>
          <w:szCs w:val="36"/>
          <w:color w:val="auto"/>
          <w:vertAlign w:val="superscript"/>
        </w:rPr>
      </w:pPr>
    </w:p>
    <w:p>
      <w:pPr>
        <w:ind w:left="332" w:hanging="332"/>
        <w:spacing w:after="0" w:line="286" w:lineRule="auto"/>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cash provided by operating activities </w:t>
      </w:r>
      <w:r>
        <w:rPr>
          <w:rFonts w:ascii="Times New Roman" w:cs="Times New Roman" w:eastAsia="Times New Roman" w:hAnsi="Times New Roman"/>
          <w:sz w:val="18"/>
          <w:szCs w:val="18"/>
          <w:color w:val="auto"/>
        </w:rPr>
        <w:t>was RMB8.7 billion (US$1.2 billion) in the fourth quarter of 2024, representing a decrease of 49.8%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RMB17.3 billion in the fourth quarter of 2023 and a decrease of 21.3% from RMB11.0 billion in the third quarter of 2024.</w:t>
      </w:r>
    </w:p>
    <w:p>
      <w:pPr>
        <w:spacing w:after="0" w:line="158" w:lineRule="exact"/>
        <w:rPr>
          <w:rFonts w:ascii="Times New Roman" w:cs="Times New Roman" w:eastAsia="Times New Roman" w:hAnsi="Times New Roman"/>
          <w:sz w:val="18"/>
          <w:szCs w:val="18"/>
          <w:color w:val="auto"/>
        </w:rPr>
      </w:pPr>
    </w:p>
    <w:p>
      <w:pPr>
        <w:ind w:left="332" w:hanging="332"/>
        <w:spacing w:after="0" w:line="189" w:lineRule="auto"/>
        <w:tabs>
          <w:tab w:leader="none" w:pos="332"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29"/>
          <w:szCs w:val="29"/>
          <w:b w:val="1"/>
          <w:bCs w:val="1"/>
          <w:color w:val="auto"/>
          <w:vertAlign w:val="superscript"/>
        </w:rPr>
        <w:t>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RMB6.1 billion (US$830.1 million) in the fourth quarter of 2024, representing a decrease of 58.6% from RMB14.6 billion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quarter of 2023 and a decrease of 33.1% from RMB9.1 billion in the third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0"/>
          <w:szCs w:val="20"/>
          <w:color w:val="auto"/>
        </w:rPr>
      </w:pPr>
    </w:p>
    <w:p>
      <w:pPr>
        <w:ind w:left="-8" w:right="20" w:firstLine="8"/>
        <w:spacing w:after="0" w:line="196" w:lineRule="auto"/>
        <w:tabs>
          <w:tab w:leader="none" w:pos="104" w:val="left"/>
        </w:tabs>
        <w:numPr>
          <w:ilvl w:val="0"/>
          <w:numId w:val="7"/>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The Company’s non-GAAP financial measures exclude share-based compensation expenses and release of valuation allowance on deferred tax assets. See “Unaudited Reconciliation of U.S. GAAP and Non-GAAP Results” set forth at the end of this press release.</w:t>
      </w:r>
    </w:p>
    <w:p>
      <w:pPr>
        <w:spacing w:after="0" w:line="129" w:lineRule="exact"/>
        <w:rPr>
          <w:sz w:val="20"/>
          <w:szCs w:val="20"/>
          <w:color w:val="auto"/>
        </w:rPr>
      </w:pPr>
    </w:p>
    <w:p>
      <w:pPr>
        <w:ind w:left="112" w:hanging="112"/>
        <w:spacing w:after="0"/>
        <w:tabs>
          <w:tab w:leader="none" w:pos="112" w:val="left"/>
        </w:tabs>
        <w:numPr>
          <w:ilvl w:val="0"/>
          <w:numId w:val="8"/>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Each ADS represents two Class A ordinary shares.</w:t>
      </w:r>
    </w:p>
    <w:p>
      <w:pPr>
        <w:spacing w:after="0" w:line="236" w:lineRule="exact"/>
        <w:rPr>
          <w:sz w:val="20"/>
          <w:szCs w:val="20"/>
          <w:color w:val="auto"/>
        </w:rPr>
      </w:pPr>
    </w:p>
    <w:p>
      <w:pPr>
        <w:ind w:left="5552" w:right="2120" w:hanging="5552"/>
        <w:spacing w:after="0" w:line="625" w:lineRule="auto"/>
        <w:tabs>
          <w:tab w:leader="none" w:pos="116" w:val="left"/>
        </w:tabs>
        <w:numPr>
          <w:ilvl w:val="0"/>
          <w:numId w:val="9"/>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 xml:space="preserve">Free cash flow represents operating cash flow less capital expenditures, which is considered a non-GAAP financial measure. </w:t>
      </w: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-342265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Financial Results</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53"/>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 except for percentages and per ADS data)</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72"/>
        </w:trPr>
        <w:tc>
          <w:tcPr>
            <w:tcW w:w="1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60" w:type="dxa"/>
            <w:vAlign w:val="bottom"/>
            <w:tcBorders>
              <w:bottom w:val="single" w:sz="8" w:color="auto"/>
            </w:tcBorders>
            <w:gridSpan w:val="5"/>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7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 Change</w:t>
            </w:r>
            <w:r>
              <w:rPr>
                <w:rFonts w:ascii="Times New Roman" w:cs="Times New Roman" w:eastAsia="Times New Roman" w:hAnsi="Times New Roman"/>
                <w:sz w:val="29"/>
                <w:szCs w:val="29"/>
                <w:b w:val="1"/>
                <w:bCs w:val="1"/>
                <w:color w:val="auto"/>
                <w:vertAlign w:val="superscript"/>
              </w:rPr>
              <w:t>6</w:t>
            </w:r>
          </w:p>
        </w:tc>
        <w:tc>
          <w:tcPr>
            <w:tcW w:w="7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187"/>
        </w:trPr>
        <w:tc>
          <w:tcPr>
            <w:tcW w:w="16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6"/>
        </w:trPr>
        <w:tc>
          <w:tcPr>
            <w:tcW w:w="16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6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8"/>
        </w:trPr>
        <w:tc>
          <w:tcPr>
            <w:tcW w:w="16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0"/>
                <w:szCs w:val="20"/>
                <w:color w:val="auto"/>
              </w:rPr>
            </w:pPr>
          </w:p>
        </w:tc>
        <w:tc>
          <w:tcPr>
            <w:tcW w:w="176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YoY</w:t>
            </w:r>
          </w:p>
        </w:tc>
        <w:tc>
          <w:tcPr>
            <w:tcW w:w="10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QoQ</w:t>
            </w:r>
          </w:p>
        </w:tc>
      </w:tr>
      <w:tr>
        <w:trPr>
          <w:trHeight w:val="210"/>
        </w:trPr>
        <w:tc>
          <w:tcPr>
            <w:tcW w:w="16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6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40,379.3</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41,323.8</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42,643.0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 margin</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w:t>
            </w:r>
          </w:p>
        </w:tc>
        <w:tc>
          <w:tcPr>
            <w:tcW w:w="17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(3.0)pts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(1.2)pts</w:t>
            </w:r>
          </w:p>
        </w:tc>
      </w:tr>
      <w:tr>
        <w:trPr>
          <w:trHeight w:val="216"/>
        </w:trPr>
        <w:tc>
          <w:tcPr>
            <w:tcW w:w="16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41,732.1</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42,874.2</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44,273.7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9,786.9</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9,224.7</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8,970.2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17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(3.2)pts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(1.2)pts</w:t>
            </w:r>
          </w:p>
        </w:tc>
      </w:tr>
      <w:tr>
        <w:trPr>
          <w:trHeight w:val="216"/>
        </w:trPr>
        <w:tc>
          <w:tcPr>
            <w:tcW w:w="16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(6,750.5)</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(5,792.0)</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(5,266.9)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c>
          <w:tcPr>
            <w:tcW w:w="3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3,036.4</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3,432.7</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3,703.3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7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1.1pts</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0.4pts</w:t>
            </w:r>
          </w:p>
        </w:tc>
      </w:tr>
      <w:tr>
        <w:trPr>
          <w:trHeight w:val="216"/>
        </w:trPr>
        <w:tc>
          <w:tcPr>
            <w:tcW w:w="16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5,752.3</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2,820.5</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3,532.7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w:t>
            </w:r>
          </w:p>
        </w:tc>
        <w:tc>
          <w:tcPr>
            <w:tcW w:w="3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4,588.7</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3,851.0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4,039.7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6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98"/>
        </w:trPr>
        <w:tc>
          <w:tcPr>
            <w:tcW w:w="4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Diluted net earnings per ADS attributable to ordinary</w:t>
            </w: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4"/>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5.32</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w:t>
            </w: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(37.8)%</w:t>
            </w: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r>
      <w:tr>
        <w:trPr>
          <w:trHeight w:val="198"/>
        </w:trPr>
        <w:tc>
          <w:tcPr>
            <w:tcW w:w="4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Non-GAAP diluted net earnings per ADS attributable to</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4"/>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ordinary shareholders</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4.23</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3.63</w:t>
            </w:r>
          </w:p>
        </w:tc>
        <w:tc>
          <w:tcPr>
            <w:tcW w:w="3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6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17,294.2</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11,024.6</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8,680.3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w:t>
            </w:r>
          </w:p>
        </w:tc>
        <w:tc>
          <w:tcPr>
            <w:tcW w:w="3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14,638.1</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9,051.8</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6,059.3</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(58.6)%</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3" w:lineRule="exact"/>
        <w:rPr>
          <w:sz w:val="20"/>
          <w:szCs w:val="20"/>
          <w:color w:val="auto"/>
        </w:rPr>
      </w:pPr>
    </w:p>
    <w:p>
      <w:pPr>
        <w:ind w:left="5560" w:right="1480" w:hanging="5552"/>
        <w:spacing w:after="0" w:line="625" w:lineRule="auto"/>
        <w:tabs>
          <w:tab w:leader="none" w:pos="124" w:val="left"/>
        </w:tabs>
        <w:numPr>
          <w:ilvl w:val="0"/>
          <w:numId w:val="10"/>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 xml:space="preserve">Except for vehicle margin, gross margin, and operating margin, where absolute changes instead of percentage changes are presented. </w:t>
      </w: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 for the Full Year 2024</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were RMB138.5 billion (US$19.0 billion) in 2024, representing an increase of 15.2% from RMB120.3 billion in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margin </w:t>
      </w:r>
      <w:r>
        <w:rPr>
          <w:rFonts w:ascii="Times New Roman" w:cs="Times New Roman" w:eastAsia="Times New Roman" w:hAnsi="Times New Roman"/>
          <w:sz w:val="18"/>
          <w:szCs w:val="18"/>
          <w:color w:val="auto"/>
        </w:rPr>
        <w:t>was 19.8% in 2024, compared with 21.5% in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RMB144.5 billion (US$19.8 billion) in 2024, representing an increase of 16.6% from RMB123.9 billion in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RMB29.7 billion (US$4.1 billion) in 2024, representing an increase of 7.9% from RMB27.5 billion in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20.5% in 2024, compared with 22.2% in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RMB22.6 billion (US$3.1 billion) in 2024, representing an increase of 12.7% from RMB20.1 billion in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RMB7.0 billion (US$961.6 million) in 2024, representing a decrease of 5.2% from RMB7.4 billion in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margin </w:t>
      </w:r>
      <w:r>
        <w:rPr>
          <w:rFonts w:ascii="Times New Roman" w:cs="Times New Roman" w:eastAsia="Times New Roman" w:hAnsi="Times New Roman"/>
          <w:sz w:val="18"/>
          <w:szCs w:val="18"/>
          <w:color w:val="auto"/>
        </w:rPr>
        <w:t>was 4.9% in 2024, compared with 6.0% in 2023.</w:t>
      </w:r>
    </w:p>
    <w:p>
      <w:pPr>
        <w:spacing w:after="0" w:line="225"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RMB8.0 billion (US$1.1 billion) in 2024, representing a decrease of 31.9% from RMB11.8 billion in 2023.</w:t>
      </w:r>
      <w:r>
        <w:rPr>
          <w:rFonts w:ascii="Times New Roman" w:cs="Times New Roman" w:eastAsia="Times New Roman" w:hAnsi="Times New Roman"/>
          <w:sz w:val="18"/>
          <w:szCs w:val="18"/>
          <w:b w:val="1"/>
          <w:bCs w:val="1"/>
          <w:color w:val="auto"/>
        </w:rPr>
        <w:t xml:space="preserve"> Non-GAAP net income </w:t>
      </w:r>
      <w:r>
        <w:rPr>
          <w:rFonts w:ascii="Times New Roman" w:cs="Times New Roman" w:eastAsia="Times New Roman" w:hAnsi="Times New Roman"/>
          <w:sz w:val="18"/>
          <w:szCs w:val="18"/>
          <w:color w:val="auto"/>
        </w:rPr>
        <w:t>was RMB10.7 billion (US$1.5 billion) in 2024, representing a decrease of 12.5% from RMB12.2 billion in 2023.</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Diluted net earnings per ADS attributable to ordinary shareholders </w:t>
      </w:r>
      <w:r>
        <w:rPr>
          <w:rFonts w:ascii="Times New Roman" w:cs="Times New Roman" w:eastAsia="Times New Roman" w:hAnsi="Times New Roman"/>
          <w:sz w:val="18"/>
          <w:szCs w:val="18"/>
          <w:color w:val="auto"/>
        </w:rPr>
        <w:t>was RMB7.58 (US$1.04) in 2024, compared with RMB11.10 in 2023.</w:t>
      </w:r>
      <w:r>
        <w:rPr>
          <w:rFonts w:ascii="Times New Roman" w:cs="Times New Roman" w:eastAsia="Times New Roman" w:hAnsi="Times New Roman"/>
          <w:sz w:val="18"/>
          <w:szCs w:val="18"/>
          <w:b w:val="1"/>
          <w:bCs w:val="1"/>
          <w:color w:val="auto"/>
        </w:rPr>
        <w:t xml:space="preserve"> Non-GAAP diluted net earnings per ADS attributable to ordinary shareholders </w:t>
      </w:r>
      <w:r>
        <w:rPr>
          <w:rFonts w:ascii="Times New Roman" w:cs="Times New Roman" w:eastAsia="Times New Roman" w:hAnsi="Times New Roman"/>
          <w:sz w:val="18"/>
          <w:szCs w:val="18"/>
          <w:color w:val="auto"/>
        </w:rPr>
        <w:t>was RMB10.04 (US$1.38) in 2024, compared with RMB11.46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w:t>
      </w:r>
    </w:p>
    <w:p>
      <w:pPr>
        <w:spacing w:after="0" w:line="170"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cash provided by operating activities </w:t>
      </w:r>
      <w:r>
        <w:rPr>
          <w:rFonts w:ascii="Times New Roman" w:cs="Times New Roman" w:eastAsia="Times New Roman" w:hAnsi="Times New Roman"/>
          <w:sz w:val="18"/>
          <w:szCs w:val="18"/>
          <w:color w:val="auto"/>
        </w:rPr>
        <w:t>was RMB15.9 billion (US$2.2 billion) in 2024, representing a decrease of 68.6% from RMB50.7 billion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color w:val="auto"/>
        </w:rPr>
        <w:t>was RMB8.2 billion (US$1.1 billion) in 2024, representing a decrease of 81.4% from RMB44.2 billion in 2023.</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Financial Results</w:t>
            </w: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 except for percentages and per ADS data)</w:t>
            </w:r>
          </w:p>
        </w:tc>
        <w:tc>
          <w:tcPr>
            <w:tcW w:w="340" w:type="dxa"/>
            <w:vAlign w:val="bottom"/>
          </w:tcPr>
          <w:p>
            <w:pPr>
              <w:spacing w:after="0"/>
              <w:rPr>
                <w:sz w:val="24"/>
                <w:szCs w:val="24"/>
                <w:color w:val="auto"/>
              </w:rPr>
            </w:pPr>
          </w:p>
        </w:tc>
        <w:tc>
          <w:tcPr>
            <w:tcW w:w="3440" w:type="dxa"/>
            <w:vAlign w:val="bottom"/>
            <w:gridSpan w:val="4"/>
            <w:vMerge w:val="restart"/>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40" w:type="dxa"/>
            <w:vAlign w:val="bottom"/>
            <w:gridSpan w:val="4"/>
            <w:vMerge w:val="continue"/>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280" w:type="dxa"/>
            <w:vAlign w:val="bottom"/>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YoY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60" w:type="dxa"/>
            <w:vAlign w:val="bottom"/>
          </w:tcPr>
          <w:p>
            <w:pPr>
              <w:spacing w:after="0"/>
              <w:rPr>
                <w:sz w:val="18"/>
                <w:szCs w:val="18"/>
                <w:color w:val="auto"/>
              </w:rPr>
            </w:pPr>
          </w:p>
        </w:tc>
        <w:tc>
          <w:tcPr>
            <w:tcW w:w="14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2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120,294.7</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138,538.1</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 margin</w:t>
            </w:r>
          </w:p>
        </w:tc>
        <w:tc>
          <w:tcPr>
            <w:tcW w:w="2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(1.7)pts</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123,851.3</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144,459.9</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27,496.8</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29,656.1</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(1.7)pts</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(20,089.9)</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(22,637.0)</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7,406.9</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7,019.1</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(1.1)pts</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11,809.1</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8,045.3</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2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12,197.6</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10,670.1</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earnings per ADS attributable to ordinary shareholders</w:t>
            </w:r>
          </w:p>
        </w:tc>
        <w:tc>
          <w:tcPr>
            <w:tcW w:w="2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11.10</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7.58</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diluted net earnings per ADS attributable to ordinary shareholders</w:t>
            </w:r>
          </w:p>
        </w:tc>
        <w:tc>
          <w:tcPr>
            <w:tcW w:w="2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11.46</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10.04</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50,693.5</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15,933.2</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2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44,186.3</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8,203.1</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648"/>
        </w:trPr>
        <w:tc>
          <w:tcPr>
            <w:tcW w:w="6020" w:type="dxa"/>
            <w:vAlign w:val="bottom"/>
            <w:tcBorders>
              <w:bottom w:val="single" w:sz="8" w:color="auto"/>
            </w:tcBorders>
            <w:gridSpan w:val="2"/>
          </w:tcPr>
          <w:p>
            <w:pPr>
              <w:ind w:left="556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Update</w:t>
      </w:r>
    </w:p>
    <w:p>
      <w:pPr>
        <w:spacing w:after="0" w:line="229" w:lineRule="exact"/>
        <w:rPr>
          <w:sz w:val="20"/>
          <w:szCs w:val="20"/>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and February 2025, the Company delivered 29,927 and 26,263 vehicles, respectively. As of February 28, 2025, in China, the Company had 500 retail stores in 150 cities, 488 servicing centers and Li Auto-authorized body and paint shops operating in 224 cities, and 1,874 super charging stations in operation equipped with 10,008 charging stalls.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OTA Updates</w:t>
      </w:r>
    </w:p>
    <w:p>
      <w:pPr>
        <w:spacing w:after="0" w:line="229" w:lineRule="exact"/>
        <w:rPr>
          <w:sz w:val="20"/>
          <w:szCs w:val="20"/>
          <w:color w:val="auto"/>
        </w:rPr>
      </w:pPr>
    </w:p>
    <w:p>
      <w:pPr>
        <w:jc w:val="both"/>
        <w:ind w:left="340" w:hanging="332"/>
        <w:spacing w:after="0" w:line="254"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continues to elevate user experience through OTA updates, with the most recent releases of OTA 6.5 in November 2024, OTA 7.0 in January 2025, and OTA 7.1 in February 2025. Available on the Li L series and Li MEGA, these updates introduced a wide array of new and enhanced autonomous driving, smart space, and smart electric features. Leveraging its full-stack, proprietary end-to-end (E2E) and vision-language model (VLM) technologies, the Company delivered a one-click point-to-point autonomous driving feature to all Li AD Max users via OTA 6.5 and upgraded its highway NOA via OTA 7.0 to enable seamless autonomous driving experiences across all driving scenarios. OTA 7.1 features an enhanced Li AD Max V13, offering smoother performance when navigating complex road conditions. These OTA updates also include upgrades to the Li Xiang Tong Xue smart assistant, the introduction of Sentry Mode High-Risk Video Remote Preview and Front Passenger Exit Alert features, and further enhancements to charging planning and efficiency.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Germany Research and Development Center</w:t>
      </w:r>
    </w:p>
    <w:p>
      <w:pPr>
        <w:spacing w:after="0" w:line="229" w:lineRule="exact"/>
        <w:rPr>
          <w:sz w:val="20"/>
          <w:szCs w:val="20"/>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the Company officially established its first overseas research and development center in Munich, Germany, which will drive its continued developments in technology pre-research, product development, and product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CEO and CFO Comments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Xiang Li, chairman and chief executive officer of Li Auto, commented, “Our record performance in the fourth quarter propelled our full-year deliveries to surpass the 500,000 milestone, making us the first among premium automotive brands in China. We also maintained our sales leadership position among Chinese automotive brands in the RMB200,000 and above NEV market. These achievements reflect our ability to drive innovation, efficiency, and value creation for users. Over the past year, we achieved a number of significant breakthroughs in intelligentization. Our autonomous driving solution now provides end-to-end functionality across all driving scenarios powered by our full-stack, proprietary E2E and VLM dual system architecture. Additionally, we significantly enhanced Li Xiang Tong Xue’s capabilities in memorization, planning, tool utilization, and expression, upgrading the interactive experience for users. Looking ahead to 2025, we will launch our next-generation autonomous driving architecture and new BEV models, bringing happiness to more families with enhanced intelligent features and a more diversified product portfolio.”</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Tie Li, chief financial officer of Li Auto, added, “We concluded 2024 with a robust financial performance. Strong vehicle deliveries drove fourth-quarter revenues to RMB44.3 billion, representing a new quarterly record high and 6.1% year-over-year growth. This brought our full-year revenues to RMB144.5 billion, increasing by 16.6% year over year. We also maintained robust profitability with a net income of RMB8.0 billion and operating cash flow of RMB15.9 billion for the full year of 2024. Our year-end cash reserve remained solid at RMB112.8 billion, laying a sound foundation for future growth. Moving forward, we remain committed to expanding our business and driving technological innovation while striving for financial excellence. By continuously enhancing our comprehensive capabilities, we aim to grow sustainably and steadily advance toward our long-term vision in this intelligent era, creating value for all our stakeholders.”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Results for the Fourth Quarter of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ind w:left="340" w:hanging="332"/>
        <w:spacing w:after="0" w:line="28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RMB44.3 billion (US$6.1 billion) in the fourth quarter of 2024, representing an increase of 6.1% from RMB41.7 billion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quarter of 2023 and an increase of 3.3% from RMB42.9 billion in the third quarter of 2024.</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were RMB42.6 billion (US$5.8 billion) in the fourth quarter of 2024, representing an increase of 5.6% from RMB40.4 billion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quarter of 2023 and an increase of 3.2% from RMB41.3 billion in the third quarter of 2024. The increase in revenue from vehicle sales over the fourth quarter of 2023 was primarily attributable to the increase in vehicle deliveries, partially offset by the lower average selling price mainly due to different product mix. The increase in revenue from vehicle sales over the third quarter of 2024 was primarily attributable to the increase in vehicle deliveries, partially offset by the lower average selling price due to interest subsidies provided to customers.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sales and services </w:t>
      </w:r>
      <w:r>
        <w:rPr>
          <w:rFonts w:ascii="Times New Roman" w:cs="Times New Roman" w:eastAsia="Times New Roman" w:hAnsi="Times New Roman"/>
          <w:sz w:val="18"/>
          <w:szCs w:val="18"/>
          <w:color w:val="auto"/>
        </w:rPr>
        <w:t>were RMB1.6 billion (US$223.4 million) in the fourth quarter of 2024, representing an increase of 20.5% from RMB1.4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in the fourth quarter of 2023 and an increase of 5.2% from RMB1.6 billion in the third quarter of 2024. The increase in revenue from other sales and services over the fourth quarter of 2023 was mainly attributable to the increased provision of services and sales of accessories, which is in line with higher accumulated vehicle sales. The revenue from other sales and services remained relatively stable over the third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225" w:lineRule="exact"/>
        <w:rPr>
          <w:sz w:val="20"/>
          <w:szCs w:val="20"/>
          <w:color w:val="auto"/>
        </w:rPr>
      </w:pPr>
    </w:p>
    <w:p>
      <w:pPr>
        <w:jc w:val="both"/>
        <w:ind w:left="340" w:hanging="332"/>
        <w:spacing w:after="0" w:line="26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was RMB35.3 billion (US$4.8 billion) in the fourth quarter of 2024, representing an increase of 10.5% from RMB31.9 billion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quarter of 2023 and an increase of 4.9% from RMB33.6 billion in the third quarter of 2024. The increase in cost of sales over the fourth quarter of 2023 was primarily attributable to increase in vehicle deliveries, partially offset by the lower average cost of sales due to different product mix. The increase in cost of sales over the third quarter of 2024 was primarily attributable to increase in vehicle deliveries.</w:t>
      </w:r>
    </w:p>
    <w:p>
      <w:pPr>
        <w:spacing w:after="0" w:line="176"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RMB9.0 billion (US$1.2 billion) in the fourth quarter of 2024, representing a decrease of 8.3% from RMB9.8 billion in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and a decrease of 2.8% from RMB9.2 billion in the third quarter of 2024.</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margin </w:t>
      </w:r>
      <w:r>
        <w:rPr>
          <w:rFonts w:ascii="Times New Roman" w:cs="Times New Roman" w:eastAsia="Times New Roman" w:hAnsi="Times New Roman"/>
          <w:sz w:val="18"/>
          <w:szCs w:val="18"/>
          <w:color w:val="auto"/>
        </w:rPr>
        <w:t>was 19.7% in the fourth quarter of 2024, compared with 22.7% in the fourth quarter of 2023 and 20.9% in the third quarter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decrease in vehicle margin over the fourth quarter of 2023 was mainly due to different product mix. The decrease in vehicle margin over the third quarter of 2024 was mainly due to losses on purchase commitment and lower average selling price due to interest subsidies provided to customers.</w:t>
      </w:r>
    </w:p>
    <w:p>
      <w:pPr>
        <w:spacing w:after="0" w:line="170"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20.3% in the fourth quarter of 2024, compared with 23.5% in the fourth quarter of 2023 and 21.5% in the third quarter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decrease in gross margin over the fourth quarter of 2023 and third quarter of 2024 was mainly due to the decrease in vehicle margin.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ind w:left="340" w:hanging="332"/>
        <w:spacing w:after="0" w:line="28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RMB5.3 billion (US$721.6 million) in the fourth quarter of 2024, representing a decrease of 22.0% from RMB6.8 billion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fourth quarter of 2023 and a decrease of 9.1% from RMB5.8 billion in the third quarter of 2024.</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RMB2.4 billion (US$329.9 million) in the fourth quarter of 2024, representing a decrease of 31.0%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RMB3.5 billion in the fourth quarter of 2023 and a decrease of 6.9% from RMB2.6 billion in the third quarter of 2024. The decrease in research and development expenses over the fourth quarter of 2023 was mainly attributable to decreased expenses related to product portfolios and technologies, and decreased employee compensation. The decrease in research and development expenses over the third quarter of 2024 was primarily due to decreased employee compensation.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were RMB3.1 billion (US$421.5 million) in the fourth quarter of 2024, representing a decrease of 5.9%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RMB3.3 billion in the fourth quarter of 2023 and a decrease of 8.4% from RMB3.4 billion in the third quarter of 2024. The decrease in selling, general and administrative expenses over the fourth quarter of 2023 was primarily due to decreased employee compensation and improved operational efficiency. The decrease in selling, general and administrative expenses over the third quarter of 2024 was primarily due to decreased employee compensation associated with the recognition of the chief executive officer’s performance-based awards in the third quarter of 2024, partially offset by the increased marketing and promotional activities.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225" w:lineRule="exact"/>
        <w:rPr>
          <w:sz w:val="20"/>
          <w:szCs w:val="20"/>
          <w:color w:val="auto"/>
        </w:rPr>
      </w:pPr>
    </w:p>
    <w:p>
      <w:pPr>
        <w:jc w:val="both"/>
        <w:ind w:left="340" w:hanging="332"/>
        <w:spacing w:after="0" w:line="259"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RMB3.7 billion (US$507.4 million) in the fourth quarter of 2024, representing an increase of 22.0% from RMB3.0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billion in the fourth quarter of 2023 and an increase of 7.9% from RMB3.4 billion in the third quarter of 2024. </w:t>
      </w:r>
      <w:r>
        <w:rPr>
          <w:rFonts w:ascii="Times New Roman" w:cs="Times New Roman" w:eastAsia="Times New Roman" w:hAnsi="Times New Roman"/>
          <w:sz w:val="18"/>
          <w:szCs w:val="18"/>
          <w:b w:val="1"/>
          <w:bCs w:val="1"/>
          <w:color w:val="auto"/>
        </w:rPr>
        <w:t>Operating margin</w:t>
      </w:r>
      <w:r>
        <w:rPr>
          <w:rFonts w:ascii="Times New Roman" w:cs="Times New Roman" w:eastAsia="Times New Roman" w:hAnsi="Times New Roman"/>
          <w:sz w:val="18"/>
          <w:szCs w:val="18"/>
          <w:color w:val="auto"/>
        </w:rPr>
        <w:t xml:space="preserve"> was 8.4% in the fourth quarter of 2024, compared with 7.3% in the fourth quarter of 2023 and 8.0% in the third quarter of 2024. </w:t>
      </w:r>
      <w:r>
        <w:rPr>
          <w:rFonts w:ascii="Times New Roman" w:cs="Times New Roman" w:eastAsia="Times New Roman" w:hAnsi="Times New Roman"/>
          <w:sz w:val="18"/>
          <w:szCs w:val="18"/>
          <w:b w:val="1"/>
          <w:bCs w:val="1"/>
          <w:color w:val="auto"/>
        </w:rPr>
        <w:t>Non-GAAP income from operations</w:t>
      </w:r>
      <w:r>
        <w:rPr>
          <w:rFonts w:ascii="Times New Roman" w:cs="Times New Roman" w:eastAsia="Times New Roman" w:hAnsi="Times New Roman"/>
          <w:sz w:val="18"/>
          <w:szCs w:val="18"/>
          <w:color w:val="auto"/>
        </w:rPr>
        <w:t xml:space="preserve"> was RMB4.2 billion (US$577.6 million) in the fourth quarter of 2024, representing an increase of 9.1% from RMB3.9 billion in the fourth quarter of 2023 and a decrease of 5.5% from RMB4.5 billion in the third quarter of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Net Earnings Per Share</w:t>
      </w:r>
    </w:p>
    <w:p>
      <w:pPr>
        <w:spacing w:after="0" w:line="225" w:lineRule="exact"/>
        <w:rPr>
          <w:sz w:val="20"/>
          <w:szCs w:val="20"/>
          <w:color w:val="auto"/>
        </w:rPr>
      </w:pPr>
    </w:p>
    <w:p>
      <w:pPr>
        <w:jc w:val="both"/>
        <w:ind w:left="340" w:hanging="332"/>
        <w:spacing w:after="0" w:line="26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RMB3.5 billion (US$484.0 million) in the fourth quarter of 2024, representing a decrease of 38.6% from RMB5.8 billion in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quarter of 2023 and an increase of 25.3% from RMB2.8 billion in the third quarter of 2024. </w:t>
      </w: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18"/>
          <w:szCs w:val="18"/>
          <w:color w:val="auto"/>
        </w:rPr>
        <w:t xml:space="preserve"> was RMB4.0 billion (US$553.4 million) in the fourth quarter of 2024, representing a decrease of 12.0% from RMB4.6 billion in the fourth quarter of 2023 and an increase of 4.9% from RMB3.9 billion in the third quarter of 2024.</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Basic and diluted net earnings per ADS attributable to ordinary shareholders </w:t>
      </w:r>
      <w:r>
        <w:rPr>
          <w:rFonts w:ascii="Times New Roman" w:cs="Times New Roman" w:eastAsia="Times New Roman" w:hAnsi="Times New Roman"/>
          <w:sz w:val="18"/>
          <w:szCs w:val="18"/>
          <w:color w:val="auto"/>
        </w:rPr>
        <w:t>were RMB3.52 (US$0.48) and RMB3.31 (US$0.45) in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quarter of 2024, respectively, compared with RMB5.72 and RMB5.32 in the fourth quarter of 2023, respectively, and RMB2.82 and RMB2.66 in the third quarter of 2024, respectively. </w:t>
      </w:r>
      <w:r>
        <w:rPr>
          <w:rFonts w:ascii="Times New Roman" w:cs="Times New Roman" w:eastAsia="Times New Roman" w:hAnsi="Times New Roman"/>
          <w:sz w:val="18"/>
          <w:szCs w:val="18"/>
          <w:b w:val="1"/>
          <w:bCs w:val="1"/>
          <w:color w:val="auto"/>
        </w:rPr>
        <w:t>Non-GAAP basic and diluted net earnings per ADS attributable to ordinary shareholders</w:t>
      </w:r>
      <w:r>
        <w:rPr>
          <w:rFonts w:ascii="Times New Roman" w:cs="Times New Roman" w:eastAsia="Times New Roman" w:hAnsi="Times New Roman"/>
          <w:sz w:val="18"/>
          <w:szCs w:val="18"/>
          <w:color w:val="auto"/>
        </w:rPr>
        <w:t xml:space="preserve"> were RMB4.03 (US$0.55) and RMB3.79 (US$0.52) in the fourth quarter of 2024, respectively, compared with RMB4.54 and RMB4.23 in the fourth quarter of 2023, respectively, and RMB3.85 and RMB3.63 in the third quarter of 2024,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Position, Operating Cash Flow and Free Cash Flow</w:t>
      </w:r>
    </w:p>
    <w:p>
      <w:pPr>
        <w:spacing w:after="0" w:line="213"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Cash position</w:t>
      </w:r>
      <w:r>
        <w:rPr>
          <w:rFonts w:ascii="Times New Roman" w:cs="Times New Roman" w:eastAsia="Times New Roman" w:hAnsi="Times New Roman"/>
          <w:sz w:val="29"/>
          <w:szCs w:val="29"/>
          <w:b w:val="1"/>
          <w:bCs w:val="1"/>
          <w:color w:val="auto"/>
          <w:vertAlign w:val="superscript"/>
        </w:rPr>
        <w:t>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RMB112.8 billion (US$15.5 billion) as of December 31, 2024.</w:t>
      </w:r>
    </w:p>
    <w:p>
      <w:pPr>
        <w:spacing w:after="0" w:line="77" w:lineRule="exact"/>
        <w:rPr>
          <w:rFonts w:ascii="Times New Roman" w:cs="Times New Roman" w:eastAsia="Times New Roman" w:hAnsi="Times New Roman"/>
          <w:sz w:val="36"/>
          <w:szCs w:val="36"/>
          <w:color w:val="auto"/>
          <w:vertAlign w:val="superscript"/>
        </w:rPr>
      </w:pPr>
    </w:p>
    <w:p>
      <w:pPr>
        <w:jc w:val="both"/>
        <w:ind w:left="340" w:hanging="332"/>
        <w:spacing w:after="0" w:line="26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cash provided by operating activities </w:t>
      </w:r>
      <w:r>
        <w:rPr>
          <w:rFonts w:ascii="Times New Roman" w:cs="Times New Roman" w:eastAsia="Times New Roman" w:hAnsi="Times New Roman"/>
          <w:sz w:val="18"/>
          <w:szCs w:val="18"/>
          <w:color w:val="auto"/>
        </w:rPr>
        <w:t>was RMB8.7 billion (US$1.2 billion) in the fourth quarter of 2024, representing a decrease of 49.8%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RMB17.3 billion in the fourth quarter of 2023 and a decrease of 21.3% from RMB11.0 billion in the third quarter of 2024. The change in net cash provided by operating activities over the fourth quarter of 2023 and the third quarter of 2024 was mainly due to increased payment related to inventory purchase, partially offset by the increase in cash received from customers.</w:t>
      </w:r>
    </w:p>
    <w:p>
      <w:pPr>
        <w:spacing w:after="0" w:line="176"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color w:val="auto"/>
        </w:rPr>
        <w:t>was RMB6.1 billion (US$830.1 million) in the fourth quarter of 2024, representing a decrease of 58.6% from RMB14.6 billion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quarter of 2023 and a decrease of 33.1% from RMB9.1 billion in the third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783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91" w:lineRule="exact"/>
        <w:rPr>
          <w:sz w:val="20"/>
          <w:szCs w:val="20"/>
          <w:color w:val="auto"/>
        </w:rPr>
      </w:pPr>
    </w:p>
    <w:p>
      <w:pPr>
        <w:ind w:right="20" w:firstLine="8"/>
        <w:spacing w:after="0" w:line="196" w:lineRule="auto"/>
        <w:tabs>
          <w:tab w:leader="none" w:pos="132" w:val="left"/>
        </w:tabs>
        <w:numPr>
          <w:ilvl w:val="0"/>
          <w:numId w:val="21"/>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Cash position includes cash and cash equivalents, restricted cash, time deposits and short-term investments, and long-term time deposits and financial instruments included in long-term investments.</w:t>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Results for the Full Year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RMB144.5 billion (US$19.8 billion) in 2024, representing an increase of 16.6% from RMB123.9 billion in 2023.</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were RMB138.5 billion (US$19.0 billion) in 2024, representing an increase of 15.2% from RMB120.3 billion in 2023. The increase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from vehicle sales was mainly attributable to the increase in vehicle deliveries, partially offset by the lower average selling price mainly due to different product mix and changes in pricing strategy.</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sales and services </w:t>
      </w:r>
      <w:r>
        <w:rPr>
          <w:rFonts w:ascii="Times New Roman" w:cs="Times New Roman" w:eastAsia="Times New Roman" w:hAnsi="Times New Roman"/>
          <w:sz w:val="18"/>
          <w:szCs w:val="18"/>
          <w:color w:val="auto"/>
        </w:rPr>
        <w:t>were RMB5.9 billion (US$811.3 million) in 2024, representing an increase of 66.5% from RMB3.6 billion in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revenue from other sales and services was mainly attributable to the increased provision of services and sales of accessories, which is in line with higher accumulated vehicle sales.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225" w:lineRule="exact"/>
        <w:rPr>
          <w:sz w:val="20"/>
          <w:szCs w:val="20"/>
          <w:color w:val="auto"/>
        </w:rPr>
      </w:pPr>
    </w:p>
    <w:p>
      <w:pPr>
        <w:jc w:val="both"/>
        <w:ind w:left="340" w:hanging="332"/>
        <w:spacing w:after="0" w:line="268"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was RMB114.8 billion (US$15.7 billion) in 2024, representing an increase of 19.1% from RMB96.4 billion in 2023. The increase in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sales was mainly attributable to the increase in vehicle deliveries, partially offset by the lower average cost of sales due to different product mix and cost reduction.</w:t>
      </w:r>
    </w:p>
    <w:p>
      <w:pPr>
        <w:spacing w:after="0" w:line="17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RMB29.7 billion (US$4.1 billion) in 2024, representing an increase of 7.9% from RMB27.5 billion in 2023.</w:t>
      </w:r>
    </w:p>
    <w:p>
      <w:pPr>
        <w:spacing w:after="0" w:line="225"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margin </w:t>
      </w:r>
      <w:r>
        <w:rPr>
          <w:rFonts w:ascii="Times New Roman" w:cs="Times New Roman" w:eastAsia="Times New Roman" w:hAnsi="Times New Roman"/>
          <w:sz w:val="18"/>
          <w:szCs w:val="18"/>
          <w:color w:val="auto"/>
        </w:rPr>
        <w:t>was 19.8% in 2024, compared with 21.5% in 2023. The decrease in vehicle margin was mainly due to different product mix,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changes in pricing strategy, partially offset by cost reduction.</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20.5% in 2024, compared with 22.2% in 2023. The decrease in gross margin was mainly attributable to the decrease of vehicle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RMB22.6 billion (US$3.1 billion) in 2024, representing an increase of 12.7% from RMB20.1 billion in 2023.</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RMB11.1 billion (US$1.5 billion) in 2024, representing an increase of 4.6% from RMB10.6 billion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The increase in research and development expenses was primarily attributable to increased expenses to support our expanding product portfolios and technologies, and increased employee compensation.</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were RMB12.2 billion (US$1.7 billion) in 2024, representing an increase of 25.2% from RMB9.8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in 2023. The increase in selling, general and administrative expenses was primarily due to increased employee compensation associated with growth in number of staff and the recognition of share-based compensation expenses regarding the chief executive officer’s performance-based awards in 2024, as well as increased rental and other expenses associated with the expansion of sales and servicing network.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225" w:lineRule="exact"/>
        <w:rPr>
          <w:sz w:val="20"/>
          <w:szCs w:val="20"/>
          <w:color w:val="auto"/>
        </w:rPr>
      </w:pPr>
    </w:p>
    <w:p>
      <w:pPr>
        <w:jc w:val="both"/>
        <w:ind w:left="340" w:hanging="332"/>
        <w:spacing w:after="0" w:line="268"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RMB7.0 billion (US$961.6 million) in 2024, representing a decrease of 5.2% from RMB7.4 billion in 2023.</w:t>
      </w:r>
      <w:r>
        <w:rPr>
          <w:rFonts w:ascii="Times New Roman" w:cs="Times New Roman" w:eastAsia="Times New Roman" w:hAnsi="Times New Roman"/>
          <w:sz w:val="18"/>
          <w:szCs w:val="18"/>
          <w:b w:val="1"/>
          <w:bCs w:val="1"/>
          <w:color w:val="auto"/>
        </w:rPr>
        <w:t xml:space="preserve"> Operating margin </w:t>
      </w:r>
      <w:r>
        <w:rPr>
          <w:rFonts w:ascii="Times New Roman" w:cs="Times New Roman" w:eastAsia="Times New Roman" w:hAnsi="Times New Roman"/>
          <w:sz w:val="18"/>
          <w:szCs w:val="18"/>
          <w:color w:val="auto"/>
        </w:rPr>
        <w:t>was 4.9% in 2024, compared with 6.0% in 2023.</w:t>
      </w:r>
      <w:r>
        <w:rPr>
          <w:rFonts w:ascii="Times New Roman" w:cs="Times New Roman" w:eastAsia="Times New Roman" w:hAnsi="Times New Roman"/>
          <w:sz w:val="18"/>
          <w:szCs w:val="18"/>
          <w:b w:val="1"/>
          <w:bCs w:val="1"/>
          <w:color w:val="auto"/>
        </w:rPr>
        <w:t xml:space="preserve"> Non-GAAP income from operations </w:t>
      </w:r>
      <w:r>
        <w:rPr>
          <w:rFonts w:ascii="Times New Roman" w:cs="Times New Roman" w:eastAsia="Times New Roman" w:hAnsi="Times New Roman"/>
          <w:sz w:val="18"/>
          <w:szCs w:val="18"/>
          <w:color w:val="auto"/>
        </w:rPr>
        <w:t>was RMB9.7 billion (US$1.3 billion) in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 a decrease of 1.4% from RMB9.8 billion in 2023.</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Net Income and Net Earnings Per Share</w:t>
      </w:r>
    </w:p>
    <w:p>
      <w:pPr>
        <w:spacing w:after="0" w:line="225" w:lineRule="exact"/>
        <w:rPr>
          <w:sz w:val="20"/>
          <w:szCs w:val="20"/>
          <w:color w:val="auto"/>
        </w:rPr>
      </w:pPr>
    </w:p>
    <w:p>
      <w:pPr>
        <w:ind w:left="340" w:hanging="332"/>
        <w:spacing w:after="0" w:line="28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RMB8.0 billion (US$1.1 billion) in 2024, representing a decrease of 31.9% from RMB11.8 billion in 2023.</w:t>
      </w:r>
      <w:r>
        <w:rPr>
          <w:rFonts w:ascii="Times New Roman" w:cs="Times New Roman" w:eastAsia="Times New Roman" w:hAnsi="Times New Roman"/>
          <w:sz w:val="18"/>
          <w:szCs w:val="18"/>
          <w:b w:val="1"/>
          <w:bCs w:val="1"/>
          <w:color w:val="auto"/>
        </w:rPr>
        <w:t xml:space="preserve"> Non-GAAP net income </w:t>
      </w:r>
      <w:r>
        <w:rPr>
          <w:rFonts w:ascii="Times New Roman" w:cs="Times New Roman" w:eastAsia="Times New Roman" w:hAnsi="Times New Roman"/>
          <w:sz w:val="18"/>
          <w:szCs w:val="18"/>
          <w:color w:val="auto"/>
        </w:rPr>
        <w:t>was RMB10.7 billion (US$1.5 billion) in 2024, representing a decrease of 12.5% from RMB12.2 billion in 2023.</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Basic and diluted net earnings per ADS attributable to ordinary shareholders </w:t>
      </w:r>
      <w:r>
        <w:rPr>
          <w:rFonts w:ascii="Times New Roman" w:cs="Times New Roman" w:eastAsia="Times New Roman" w:hAnsi="Times New Roman"/>
          <w:sz w:val="18"/>
          <w:szCs w:val="18"/>
          <w:color w:val="auto"/>
        </w:rPr>
        <w:t>were RMB8.06 (US$1.10) and RMB7.58 (US$1.04) in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respectively, compared with RMB11.90 and RMB11.10 in 2023, respectively. </w:t>
      </w:r>
      <w:r>
        <w:rPr>
          <w:rFonts w:ascii="Times New Roman" w:cs="Times New Roman" w:eastAsia="Times New Roman" w:hAnsi="Times New Roman"/>
          <w:sz w:val="18"/>
          <w:szCs w:val="18"/>
          <w:b w:val="1"/>
          <w:bCs w:val="1"/>
          <w:color w:val="auto"/>
        </w:rPr>
        <w:t>Non-GAAP basic and diluted net earnings per ADS attributable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ordinary shareholders </w:t>
      </w:r>
      <w:r>
        <w:rPr>
          <w:rFonts w:ascii="Times New Roman" w:cs="Times New Roman" w:eastAsia="Times New Roman" w:hAnsi="Times New Roman"/>
          <w:sz w:val="18"/>
          <w:szCs w:val="18"/>
          <w:color w:val="auto"/>
        </w:rPr>
        <w:t>were RMB10.69 (US$1.47) and RMB10.04 (US$1.38) in 2024, respectively, compared with RMB12.29 and RMB11.46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 and Free Cash Flow</w:t>
      </w:r>
    </w:p>
    <w:p>
      <w:pPr>
        <w:spacing w:after="0" w:line="225" w:lineRule="exact"/>
        <w:rPr>
          <w:sz w:val="20"/>
          <w:szCs w:val="20"/>
          <w:color w:val="auto"/>
        </w:rPr>
      </w:pPr>
    </w:p>
    <w:p>
      <w:pPr>
        <w:jc w:val="both"/>
        <w:ind w:left="340" w:hanging="332"/>
        <w:spacing w:after="0" w:line="268"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cash provided by operating activities </w:t>
      </w:r>
      <w:r>
        <w:rPr>
          <w:rFonts w:ascii="Times New Roman" w:cs="Times New Roman" w:eastAsia="Times New Roman" w:hAnsi="Times New Roman"/>
          <w:sz w:val="18"/>
          <w:szCs w:val="18"/>
          <w:color w:val="auto"/>
        </w:rPr>
        <w:t>was RMB15.9 billion (US$2.2 billion) in 2024, representing a decrease of 68.6% from RMB50.7 billion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The change in net cash provided by operating activities was mainly due to increased payment related to inventory purchase, partially offset by the increase in cash received from customers.</w:t>
      </w:r>
    </w:p>
    <w:p>
      <w:pPr>
        <w:spacing w:after="0" w:line="17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color w:val="auto"/>
        </w:rPr>
        <w:t>was RMB8.2 billion (US$1.1 billion) in 2024, representing a decrease of 81.4% from RMB44.2 billion in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Company had a total of 32,248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quarter of 2025, the Company expects:</w:t>
      </w:r>
    </w:p>
    <w:p>
      <w:pPr>
        <w:spacing w:after="0" w:line="221"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Deliveries of vehicles </w:t>
      </w:r>
      <w:r>
        <w:rPr>
          <w:rFonts w:ascii="Times New Roman" w:cs="Times New Roman" w:eastAsia="Times New Roman" w:hAnsi="Times New Roman"/>
          <w:sz w:val="18"/>
          <w:szCs w:val="18"/>
          <w:color w:val="auto"/>
        </w:rPr>
        <w:t>to be between 88,000 and 93,000 vehicles, representing a year-over-year increase of 9.5% to 15.7%.</w:t>
      </w:r>
    </w:p>
    <w:p>
      <w:pPr>
        <w:spacing w:after="0" w:line="225"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to be between RMB23.4 billion (US$3.2 billion) and RMB24.7 billion (US$3.4 billion), representing a year-over-year decrease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8.7% to 3.5%.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business outlook reflects the Company’s current and preliminary views on its business situation and market conditions, which are subject to 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will hold a conference call at 8:00 a.m. U.S. Eastern Time on Friday, March 14, 2025 (8:00 p.m. Beijing/Hong Kong Time on March 14, 2025) to discuss financial results and answer questions from investors and analysts.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participants who wish to join the call, please complete online registration using the link provided below prior to the scheduled call start time. Upon registration, participants will receive the conference call access information, including dial-in numbers, passcode, and a unique access PIN. To join the conference, please dial the number provided, enter the passcode followed by your PIN, and you will join the conference instantly.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Online Registration: https://s1.c-conf.com/diamondpass/10045528-e2gf3z.html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conference call will be accessible through March 21, 2025, by dialing the following numbers:</w:t>
      </w:r>
    </w:p>
    <w:p>
      <w:pPr>
        <w:spacing w:after="0" w:line="225"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+1-855-883-1031</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+86-400-1209-216</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Hong Kong, China:</w:t>
            </w:r>
          </w:p>
        </w:tc>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+852-800-930-639</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+61-7-3107-6325</w:t>
            </w: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Replay PIN:</w:t>
            </w:r>
          </w:p>
        </w:tc>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10045528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 live and archived webcast of the conference call will be available on the Company’s investor relations website at https://ir.lixiang.com.</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non-GAAP financial measures, such as non-GAAP cost of sales, non-GAAP research and development expenses, non-GAAP selling, general and administrative expenses, non-GAAP income from operations, non-GAAP net income, non-GAAP net income attributable to ordinary shareholders, non-GAAP basic and diluted net earnings per ADS attributable to ordinary shareholders, non-GAAP basic and diluted net earnings per share attributable to ordinary shareholders and free cash flow, in evaluating its operating results and for financial and operational decision-making purposes. By excluding the impact of share-based compensation expenses and release of valuation allowance on deferred tax assets, the Company believes that the non-GAAP financial measures help identify underlying trends in its business and enhance the overall understanding of the Company’s past performance and future prospects. The Company also believes that the non-GAAP financial measures allow for greater visibility with respect to key metrics used by the Company’s management in its financial and operational decision-making.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non-GAAP financial measures are not presented in accordance with U.S. GAAP and may be different from non-GAAP methods of accounting and reporting used by other companies. The non-GAAP financial measures have limitations as analytical tools and when assessing the Company’s operating performance, investors should not consider them in isolation, or as a substitute for financial information prepared in accordance with U.S. GAAP. The Company encourages investors and others to review its financial information in its entirety and not rely on a single financial measure.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mitigates these limitations by reconciling the non-GAAP financial measures to the most comparable U.S. GAAP performance measures, all of which should be considered when evaluating the Company’s performance.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“Unaudited Reconciliation of U.S. GAAP and Non-GAAP Results” set forth at the end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Exchange 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contains translations of certain Renminbi amounts into U.S. dollars at a specified rate solely for the convenience of the reader. Unless otherwise noted, all translations from Renminbi to U.S. dollars and from U.S. dollars to Renminbi are made at a rate of RMB7.2993 to US$1.00, the exchange rate on December 31, 2024, set forth in the H.10 statistical release of the Federal Reserve Board. The Company makes no representation that the Renminbi or U.S. dollars amounts referred could be converted into U.S. dollars or Renminbi, as the case may be, at any particular rate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Li Auto Inc.</w:t>
      </w:r>
    </w:p>
    <w:p>
      <w:pPr>
        <w:spacing w:after="0" w:line="229"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Li Auto Inc. is a leader in China’s new energy vehicle market. The Company designs, develops, manufactures, and sells premium smart electric vehicles. Its mission is: Create a Mobile Home, Create Happiness (</w:t>
      </w:r>
      <w:r>
        <w:rPr>
          <w:rFonts w:ascii="SimSun" w:cs="SimSun" w:eastAsia="SimSun" w:hAnsi="SimSun"/>
          <w:sz w:val="18"/>
          <w:szCs w:val="18"/>
          <w:color w:val="auto"/>
        </w:rPr>
        <w:t>创造移动的家</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创造幸福的家</w:t>
      </w:r>
      <w:r>
        <w:rPr>
          <w:rFonts w:ascii="Times New Roman" w:cs="Times New Roman" w:eastAsia="Times New Roman" w:hAnsi="Times New Roman"/>
          <w:sz w:val="18"/>
          <w:szCs w:val="18"/>
          <w:color w:val="auto"/>
        </w:rPr>
        <w:t>). Through innovations in product, technology, and business model, the Company provides families with safe, convenient, and comfortable products and services. Li Auto is a pioneer in successfully commercializing extended-range electric vehicles in China. While firmly advancing along this technological route, it builds platforms for battery electric vehicles in parallel. The Company leverages technology to create value for users. It concentrates its in-house development efforts on proprietary range extension systems, innovative electric vehicle technologies, and smart vehicle solutions. The Company started volume production in November 2019. Its current model lineup includes Li MEGA, a high-tech flagship family MPV, Li L9, a six-seat flagship family SUV, Li L8, a six-seat premium family SUV, Li L7, a five-seat flagship family SUV, and Li L6, a five-seat premium family SUV. The Company will continue to expand its product lineup to target a broader user base.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https://ir.lixiang.com.</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“targets,” “likely to,” “challenges,” and similar statements. Li Auto may also make written or oral forward-looking statements in its periodic reports to the U.S. Securities and Exchange Commission (the “SEC”) and The Stock Exchange of Hong Kong Limited (the “HKEX”), in its annual report to shareholders, in press releases and other written materials, and in oral statements made by its officers, directors, or employees to third parties. Statements that are not historical facts, including statements about Li Auto’s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Li Auto’s strategies, future business development, and financial condition and results of operations; Li Auto’s limited operating history; risks associated with extended-range electric vehicles and high-power charging battery electric vehicles; Li Auto’s ability to develop, manufacture, and deliver vehicles of high quality and appeal to customers; Li Auto’s ability to generate positive cash flow and profits; product defects or any other failure of vehicles to perform as expected; Li Auto’s ability to compete successfully; Li Auto’s ability to build its brand and withstand negative publicity; cancellation of orders for Li Auto’s vehicles; Li Auto’s ability to develop new vehicles; and changes in consumer demand and government incentives, subsidies, or other favorable government policies. Further information regarding these and other risks is included in Li Auto’s filings with the SEC and the HKEX. All information provided in this press release is as of the date of this press release, and Li Auto does not undertake any obligation to update any forward-looking statement, except as required under applicable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 Auto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ir@lixiang.com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Christensen Advisory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Roger Hu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+86-10-5900-1548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Li@christensencomms.com</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except for ADS/ordinary share and per ADS/ordinary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20" w:type="dxa"/>
            <w:vAlign w:val="bottom"/>
          </w:tcPr>
          <w:p>
            <w:pPr>
              <w:spacing w:after="0"/>
              <w:rPr>
                <w:sz w:val="10"/>
                <w:szCs w:val="10"/>
                <w:color w:val="auto"/>
              </w:rPr>
            </w:pPr>
          </w:p>
        </w:tc>
        <w:tc>
          <w:tcPr>
            <w:tcW w:w="1280" w:type="dxa"/>
            <w:vAlign w:val="bottom"/>
            <w:gridSpan w:val="2"/>
          </w:tcPr>
          <w:p>
            <w:pPr>
              <w:jc w:val="center"/>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60" w:type="dxa"/>
            <w:vAlign w:val="bottom"/>
            <w:gridSpan w:val="2"/>
          </w:tcPr>
          <w:p>
            <w:pPr>
              <w:jc w:val="center"/>
              <w:ind w:right="219"/>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20" w:type="dxa"/>
            <w:vAlign w:val="bottom"/>
            <w:gridSpan w:val="2"/>
          </w:tcPr>
          <w:p>
            <w:pPr>
              <w:jc w:val="center"/>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c>
          <w:tcPr>
            <w:tcW w:w="1080" w:type="dxa"/>
            <w:vAlign w:val="bottom"/>
            <w:gridSpan w:val="2"/>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0"/>
                <w:szCs w:val="10"/>
                <w:color w:val="auto"/>
              </w:rPr>
            </w:pPr>
          </w:p>
        </w:tc>
        <w:tc>
          <w:tcPr>
            <w:tcW w:w="1220" w:type="dxa"/>
            <w:vAlign w:val="bottom"/>
            <w:gridSpan w:val="2"/>
          </w:tcPr>
          <w:p>
            <w:pPr>
              <w:jc w:val="center"/>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11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Vehicle sales</w:t>
            </w:r>
          </w:p>
        </w:tc>
        <w:tc>
          <w:tcPr>
            <w:tcW w:w="128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40,379,267</w:t>
            </w:r>
          </w:p>
        </w:tc>
        <w:tc>
          <w:tcPr>
            <w:tcW w:w="126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41,323,833</w:t>
            </w:r>
          </w:p>
        </w:tc>
        <w:tc>
          <w:tcPr>
            <w:tcW w:w="122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42,642,978</w:t>
            </w:r>
          </w:p>
        </w:tc>
        <w:tc>
          <w:tcPr>
            <w:tcW w:w="12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5,842,064</w:t>
            </w:r>
          </w:p>
        </w:tc>
        <w:tc>
          <w:tcPr>
            <w:tcW w:w="10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120,294,667</w:t>
            </w:r>
          </w:p>
        </w:tc>
        <w:tc>
          <w:tcPr>
            <w:tcW w:w="1360" w:type="dxa"/>
            <w:vAlign w:val="bottom"/>
            <w:gridSpan w:val="3"/>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138,538,092</w:t>
            </w:r>
          </w:p>
        </w:tc>
        <w:tc>
          <w:tcPr>
            <w:tcW w:w="11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18,979,641</w:t>
            </w: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sales and services</w:t>
            </w:r>
          </w:p>
        </w:tc>
        <w:tc>
          <w:tcPr>
            <w:tcW w:w="12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1,352,830</w:t>
            </w:r>
          </w:p>
        </w:tc>
        <w:tc>
          <w:tcPr>
            <w:tcW w:w="12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1,550,385</w:t>
            </w:r>
          </w:p>
        </w:tc>
        <w:tc>
          <w:tcPr>
            <w:tcW w:w="12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1,630,694</w:t>
            </w:r>
          </w:p>
        </w:tc>
        <w:tc>
          <w:tcPr>
            <w:tcW w:w="12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223,404</w:t>
            </w:r>
          </w:p>
        </w:tc>
        <w:tc>
          <w:tcPr>
            <w:tcW w:w="10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3,556,665</w:t>
            </w:r>
          </w:p>
        </w:tc>
        <w:tc>
          <w:tcPr>
            <w:tcW w:w="1360" w:type="dxa"/>
            <w:vAlign w:val="bottom"/>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5,921,854</w:t>
            </w:r>
          </w:p>
        </w:tc>
        <w:tc>
          <w:tcPr>
            <w:tcW w:w="11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811,291</w:t>
            </w:r>
          </w:p>
        </w:tc>
        <w:tc>
          <w:tcPr>
            <w:tcW w:w="0" w:type="dxa"/>
            <w:vAlign w:val="bottom"/>
          </w:tcPr>
          <w:p>
            <w:pPr>
              <w:spacing w:after="0"/>
              <w:rPr>
                <w:sz w:val="1"/>
                <w:szCs w:val="1"/>
                <w:color w:val="auto"/>
              </w:rPr>
            </w:pPr>
          </w:p>
        </w:tc>
      </w:tr>
      <w:tr>
        <w:trPr>
          <w:trHeight w:val="142"/>
        </w:trPr>
        <w:tc>
          <w:tcPr>
            <w:tcW w:w="27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revenues</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41,732,097</w:t>
            </w:r>
          </w:p>
        </w:tc>
        <w:tc>
          <w:tcPr>
            <w:tcW w:w="2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42,874,218</w:t>
            </w:r>
          </w:p>
        </w:tc>
        <w:tc>
          <w:tcPr>
            <w:tcW w:w="24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44,273,672</w:t>
            </w:r>
          </w:p>
        </w:tc>
        <w:tc>
          <w:tcPr>
            <w:tcW w:w="20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6,065,468</w:t>
            </w:r>
          </w:p>
        </w:tc>
        <w:tc>
          <w:tcPr>
            <w:tcW w:w="2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123,851,332</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144,459,946</w:t>
            </w:r>
          </w:p>
        </w:tc>
        <w:tc>
          <w:tcPr>
            <w:tcW w:w="2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19,790,932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Cost of sales:</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Vehicle sales</w:t>
            </w:r>
          </w:p>
        </w:tc>
        <w:tc>
          <w:tcPr>
            <w:tcW w:w="128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(31,202,028)</w:t>
            </w:r>
          </w:p>
        </w:tc>
        <w:tc>
          <w:tcPr>
            <w:tcW w:w="126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(32,671,723)</w:t>
            </w:r>
          </w:p>
        </w:tc>
        <w:tc>
          <w:tcPr>
            <w:tcW w:w="122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(34,252,151)</w:t>
            </w:r>
          </w:p>
        </w:tc>
        <w:tc>
          <w:tcPr>
            <w:tcW w:w="12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(4,692,525)</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(94,482,347)</w:t>
            </w:r>
          </w:p>
        </w:tc>
        <w:tc>
          <w:tcPr>
            <w:tcW w:w="1360" w:type="dxa"/>
            <w:vAlign w:val="bottom"/>
            <w:gridSpan w:val="3"/>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(111,121,036)</w:t>
            </w:r>
          </w:p>
        </w:tc>
        <w:tc>
          <w:tcPr>
            <w:tcW w:w="110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(15,223,520)</w:t>
            </w: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sales and services</w:t>
            </w:r>
          </w:p>
        </w:tc>
        <w:tc>
          <w:tcPr>
            <w:tcW w:w="12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(743,186)</w:t>
            </w:r>
          </w:p>
        </w:tc>
        <w:tc>
          <w:tcPr>
            <w:tcW w:w="12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(977,822)</w:t>
            </w:r>
          </w:p>
        </w:tc>
        <w:tc>
          <w:tcPr>
            <w:tcW w:w="12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(1,051,303)</w:t>
            </w:r>
          </w:p>
        </w:tc>
        <w:tc>
          <w:tcPr>
            <w:tcW w:w="12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(144,028)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(1,872,234)</w:t>
            </w:r>
          </w:p>
        </w:tc>
        <w:tc>
          <w:tcPr>
            <w:tcW w:w="13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(3,682,772)</w:t>
            </w:r>
          </w:p>
        </w:tc>
        <w:tc>
          <w:tcPr>
            <w:tcW w:w="11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(504,538)</w:t>
            </w:r>
          </w:p>
        </w:tc>
        <w:tc>
          <w:tcPr>
            <w:tcW w:w="0" w:type="dxa"/>
            <w:vAlign w:val="bottom"/>
          </w:tcPr>
          <w:p>
            <w:pPr>
              <w:spacing w:after="0"/>
              <w:rPr>
                <w:sz w:val="1"/>
                <w:szCs w:val="1"/>
                <w:color w:val="auto"/>
              </w:rPr>
            </w:pPr>
          </w:p>
        </w:tc>
      </w:tr>
      <w:tr>
        <w:trPr>
          <w:trHeight w:val="142"/>
        </w:trPr>
        <w:tc>
          <w:tcPr>
            <w:tcW w:w="27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cost of sales</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(31,945,214</w:t>
            </w:r>
          </w:p>
        </w:tc>
        <w:tc>
          <w:tcPr>
            <w:tcW w:w="260" w:type="dxa"/>
            <w:vAlign w:val="bottom"/>
            <w:tcBorders>
              <w:bottom w:val="single" w:sz="8" w:color="CCEEF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(33,649,545</w:t>
            </w:r>
          </w:p>
        </w:tc>
        <w:tc>
          <w:tcPr>
            <w:tcW w:w="240" w:type="dxa"/>
            <w:vAlign w:val="bottom"/>
            <w:tcBorders>
              <w:bottom w:val="single" w:sz="8" w:color="CCEEFF"/>
            </w:tcBorders>
          </w:tcPr>
          <w:p>
            <w:pPr>
              <w:jc w:val="right"/>
              <w:ind w:right="1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(35,303,454</w:t>
            </w:r>
          </w:p>
        </w:tc>
        <w:tc>
          <w:tcPr>
            <w:tcW w:w="2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(4,836,553</w:t>
            </w:r>
          </w:p>
        </w:tc>
        <w:tc>
          <w:tcPr>
            <w:tcW w:w="220" w:type="dxa"/>
            <w:vAlign w:val="bottom"/>
            <w:tcBorders>
              <w:bottom w:val="single" w:sz="8" w:color="CCEEFF"/>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(96,354,581</w:t>
            </w:r>
          </w:p>
        </w:tc>
        <w:tc>
          <w:tcPr>
            <w:tcW w:w="8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(114,803,808</w:t>
            </w:r>
          </w:p>
        </w:tc>
        <w:tc>
          <w:tcPr>
            <w:tcW w:w="22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(15,728,058</w:t>
            </w:r>
          </w:p>
        </w:tc>
        <w:tc>
          <w:tcPr>
            <w:tcW w:w="1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42"/>
        </w:trPr>
        <w:tc>
          <w:tcPr>
            <w:tcW w:w="2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9,786,883</w:t>
            </w:r>
          </w:p>
        </w:tc>
        <w:tc>
          <w:tcPr>
            <w:tcW w:w="26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9,224,673</w:t>
            </w:r>
          </w:p>
        </w:tc>
        <w:tc>
          <w:tcPr>
            <w:tcW w:w="24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8,970,218</w:t>
            </w:r>
          </w:p>
        </w:tc>
        <w:tc>
          <w:tcPr>
            <w:tcW w:w="20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1,228,915</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27,496,751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29,656,138</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4,062,874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28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(3,491,026)</w:t>
            </w:r>
          </w:p>
        </w:tc>
        <w:tc>
          <w:tcPr>
            <w:tcW w:w="126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(2,586,534)</w:t>
            </w:r>
          </w:p>
        </w:tc>
        <w:tc>
          <w:tcPr>
            <w:tcW w:w="122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(2,408,357)</w:t>
            </w:r>
          </w:p>
        </w:tc>
        <w:tc>
          <w:tcPr>
            <w:tcW w:w="12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(329,944)</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(10,586,129)</w:t>
            </w:r>
          </w:p>
        </w:tc>
        <w:tc>
          <w:tcPr>
            <w:tcW w:w="1360" w:type="dxa"/>
            <w:vAlign w:val="bottom"/>
            <w:gridSpan w:val="3"/>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(11,071,358)</w:t>
            </w:r>
          </w:p>
        </w:tc>
        <w:tc>
          <w:tcPr>
            <w:tcW w:w="110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(1,516,770)</w:t>
            </w:r>
          </w:p>
        </w:tc>
        <w:tc>
          <w:tcPr>
            <w:tcW w:w="0" w:type="dxa"/>
            <w:vAlign w:val="bottom"/>
          </w:tcPr>
          <w:p>
            <w:pPr>
              <w:spacing w:after="0"/>
              <w:rPr>
                <w:sz w:val="1"/>
                <w:szCs w:val="1"/>
                <w:color w:val="auto"/>
              </w:rPr>
            </w:pPr>
          </w:p>
        </w:tc>
      </w:tr>
      <w:tr>
        <w:trPr>
          <w:trHeight w:val="148"/>
        </w:trPr>
        <w:tc>
          <w:tcPr>
            <w:tcW w:w="27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28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(3,269,668)</w:t>
            </w:r>
          </w:p>
        </w:tc>
        <w:tc>
          <w:tcPr>
            <w:tcW w:w="126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(3,359,640)</w:t>
            </w:r>
          </w:p>
        </w:tc>
        <w:tc>
          <w:tcPr>
            <w:tcW w:w="122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(3,076,993)</w:t>
            </w:r>
          </w:p>
        </w:tc>
        <w:tc>
          <w:tcPr>
            <w:tcW w:w="12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(421,546)</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(9,767,955)</w:t>
            </w:r>
          </w:p>
        </w:tc>
        <w:tc>
          <w:tcPr>
            <w:tcW w:w="1360" w:type="dxa"/>
            <w:vAlign w:val="bottom"/>
            <w:gridSpan w:val="3"/>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(12,229,323)</w:t>
            </w:r>
          </w:p>
        </w:tc>
        <w:tc>
          <w:tcPr>
            <w:tcW w:w="110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(1,675,410)</w:t>
            </w: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operating income, net</w:t>
            </w:r>
          </w:p>
        </w:tc>
        <w:tc>
          <w:tcPr>
            <w:tcW w:w="12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10,237</w:t>
            </w:r>
          </w:p>
        </w:tc>
        <w:tc>
          <w:tcPr>
            <w:tcW w:w="12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154,174</w:t>
            </w:r>
          </w:p>
        </w:tc>
        <w:tc>
          <w:tcPr>
            <w:tcW w:w="12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218,446</w:t>
            </w:r>
          </w:p>
        </w:tc>
        <w:tc>
          <w:tcPr>
            <w:tcW w:w="12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29,927</w:t>
            </w:r>
          </w:p>
        </w:tc>
        <w:tc>
          <w:tcPr>
            <w:tcW w:w="10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264,210</w:t>
            </w:r>
          </w:p>
        </w:tc>
        <w:tc>
          <w:tcPr>
            <w:tcW w:w="1360" w:type="dxa"/>
            <w:vAlign w:val="bottom"/>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663,657</w:t>
            </w:r>
          </w:p>
        </w:tc>
        <w:tc>
          <w:tcPr>
            <w:tcW w:w="11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90,921</w:t>
            </w:r>
          </w:p>
        </w:tc>
        <w:tc>
          <w:tcPr>
            <w:tcW w:w="0" w:type="dxa"/>
            <w:vAlign w:val="bottom"/>
          </w:tcPr>
          <w:p>
            <w:pPr>
              <w:spacing w:after="0"/>
              <w:rPr>
                <w:sz w:val="1"/>
                <w:szCs w:val="1"/>
                <w:color w:val="auto"/>
              </w:rPr>
            </w:pPr>
          </w:p>
        </w:tc>
      </w:tr>
      <w:tr>
        <w:trPr>
          <w:trHeight w:val="142"/>
        </w:trPr>
        <w:tc>
          <w:tcPr>
            <w:tcW w:w="27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(6,750,457</w:t>
            </w:r>
          </w:p>
        </w:tc>
        <w:tc>
          <w:tcPr>
            <w:tcW w:w="260" w:type="dxa"/>
            <w:vAlign w:val="bottom"/>
            <w:tcBorders>
              <w:bottom w:val="single" w:sz="8" w:color="CCEEF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(5,792,000</w:t>
            </w:r>
          </w:p>
        </w:tc>
        <w:tc>
          <w:tcPr>
            <w:tcW w:w="240" w:type="dxa"/>
            <w:vAlign w:val="bottom"/>
            <w:tcBorders>
              <w:bottom w:val="single" w:sz="8" w:color="CCEEFF"/>
            </w:tcBorders>
          </w:tcPr>
          <w:p>
            <w:pPr>
              <w:jc w:val="right"/>
              <w:ind w:right="1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(5,266,904</w:t>
            </w:r>
          </w:p>
        </w:tc>
        <w:tc>
          <w:tcPr>
            <w:tcW w:w="2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(721,563</w:t>
            </w:r>
          </w:p>
        </w:tc>
        <w:tc>
          <w:tcPr>
            <w:tcW w:w="220" w:type="dxa"/>
            <w:vAlign w:val="bottom"/>
            <w:tcBorders>
              <w:bottom w:val="single" w:sz="8" w:color="CCEEFF"/>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(20,089,874</w:t>
            </w:r>
          </w:p>
        </w:tc>
        <w:tc>
          <w:tcPr>
            <w:tcW w:w="8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(22,637,024</w:t>
            </w:r>
          </w:p>
        </w:tc>
        <w:tc>
          <w:tcPr>
            <w:tcW w:w="22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(3,101,259</w:t>
            </w:r>
          </w:p>
        </w:tc>
        <w:tc>
          <w:tcPr>
            <w:tcW w:w="1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42"/>
        </w:trPr>
        <w:tc>
          <w:tcPr>
            <w:tcW w:w="2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from operations</w:t>
            </w: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3,036,426</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3,432,673</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3,703,314</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507,352</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7,406,877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7,019,114</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961,615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(expense)/income:</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28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(13,675)</w:t>
            </w:r>
          </w:p>
        </w:tc>
        <w:tc>
          <w:tcPr>
            <w:tcW w:w="126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(54,167)</w:t>
            </w:r>
          </w:p>
        </w:tc>
        <w:tc>
          <w:tcPr>
            <w:tcW w:w="122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(61,759)</w:t>
            </w:r>
          </w:p>
        </w:tc>
        <w:tc>
          <w:tcPr>
            <w:tcW w:w="12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(8,461)</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(86,251)</w:t>
            </w:r>
          </w:p>
        </w:tc>
        <w:tc>
          <w:tcPr>
            <w:tcW w:w="1360" w:type="dxa"/>
            <w:vAlign w:val="bottom"/>
            <w:gridSpan w:val="3"/>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(187,755)</w:t>
            </w:r>
          </w:p>
        </w:tc>
        <w:tc>
          <w:tcPr>
            <w:tcW w:w="110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(25,722)</w:t>
            </w:r>
          </w:p>
        </w:tc>
        <w:tc>
          <w:tcPr>
            <w:tcW w:w="0" w:type="dxa"/>
            <w:vAlign w:val="bottom"/>
          </w:tcPr>
          <w:p>
            <w:pPr>
              <w:spacing w:after="0"/>
              <w:rPr>
                <w:sz w:val="1"/>
                <w:szCs w:val="1"/>
                <w:color w:val="auto"/>
              </w:rPr>
            </w:pPr>
          </w:p>
        </w:tc>
      </w:tr>
      <w:tr>
        <w:trPr>
          <w:trHeight w:val="126"/>
        </w:trPr>
        <w:tc>
          <w:tcPr>
            <w:tcW w:w="27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Interest income and investment income,</w:t>
            </w:r>
          </w:p>
        </w:tc>
        <w:tc>
          <w:tcPr>
            <w:tcW w:w="12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794,355</w:t>
            </w:r>
          </w:p>
        </w:tc>
        <w:tc>
          <w:tcPr>
            <w:tcW w:w="126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(21,979)</w:t>
            </w:r>
          </w:p>
        </w:tc>
        <w:tc>
          <w:tcPr>
            <w:tcW w:w="12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403,021</w:t>
            </w:r>
          </w:p>
        </w:tc>
        <w:tc>
          <w:tcPr>
            <w:tcW w:w="12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55,214</w:t>
            </w:r>
          </w:p>
        </w:tc>
        <w:tc>
          <w:tcPr>
            <w:tcW w:w="10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2,082,948</w:t>
            </w:r>
          </w:p>
        </w:tc>
        <w:tc>
          <w:tcPr>
            <w:tcW w:w="1360" w:type="dxa"/>
            <w:vAlign w:val="bottom"/>
            <w:gridSpan w:val="3"/>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1,819,964</w:t>
            </w:r>
          </w:p>
        </w:tc>
        <w:tc>
          <w:tcPr>
            <w:tcW w:w="110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249,334</w:t>
            </w:r>
          </w:p>
        </w:tc>
        <w:tc>
          <w:tcPr>
            <w:tcW w:w="0" w:type="dxa"/>
            <w:vAlign w:val="bottom"/>
          </w:tcPr>
          <w:p>
            <w:pPr>
              <w:spacing w:after="0"/>
              <w:rPr>
                <w:sz w:val="1"/>
                <w:szCs w:val="1"/>
                <w:color w:val="auto"/>
              </w:rPr>
            </w:pPr>
          </w:p>
        </w:tc>
      </w:tr>
      <w:tr>
        <w:trPr>
          <w:trHeight w:val="171"/>
        </w:trPr>
        <w:tc>
          <w:tcPr>
            <w:tcW w:w="2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w:t>
            </w:r>
          </w:p>
        </w:tc>
        <w:tc>
          <w:tcPr>
            <w:tcW w:w="128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Others, net</w:t>
            </w:r>
          </w:p>
        </w:tc>
        <w:tc>
          <w:tcPr>
            <w:tcW w:w="12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358,825</w:t>
            </w:r>
          </w:p>
        </w:tc>
        <w:tc>
          <w:tcPr>
            <w:tcW w:w="12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43,752</w:t>
            </w:r>
          </w:p>
        </w:tc>
        <w:tc>
          <w:tcPr>
            <w:tcW w:w="12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17,128</w:t>
            </w:r>
          </w:p>
        </w:tc>
        <w:tc>
          <w:tcPr>
            <w:tcW w:w="12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2,347</w:t>
            </w:r>
          </w:p>
        </w:tc>
        <w:tc>
          <w:tcPr>
            <w:tcW w:w="10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1,048,189</w:t>
            </w:r>
          </w:p>
        </w:tc>
        <w:tc>
          <w:tcPr>
            <w:tcW w:w="1360" w:type="dxa"/>
            <w:vAlign w:val="bottom"/>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664,301</w:t>
            </w:r>
          </w:p>
        </w:tc>
        <w:tc>
          <w:tcPr>
            <w:tcW w:w="11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91,009</w:t>
            </w:r>
          </w:p>
        </w:tc>
        <w:tc>
          <w:tcPr>
            <w:tcW w:w="0" w:type="dxa"/>
            <w:vAlign w:val="bottom"/>
          </w:tcPr>
          <w:p>
            <w:pPr>
              <w:spacing w:after="0"/>
              <w:rPr>
                <w:sz w:val="1"/>
                <w:szCs w:val="1"/>
                <w:color w:val="auto"/>
              </w:rPr>
            </w:pPr>
          </w:p>
        </w:tc>
      </w:tr>
      <w:tr>
        <w:trPr>
          <w:trHeight w:val="142"/>
        </w:trPr>
        <w:tc>
          <w:tcPr>
            <w:tcW w:w="27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before income tax</w:t>
            </w: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4,175,931</w:t>
            </w:r>
          </w:p>
        </w:tc>
        <w:tc>
          <w:tcPr>
            <w:tcW w:w="260" w:type="dxa"/>
            <w:vAlign w:val="bottom"/>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3,400,279</w:t>
            </w:r>
          </w:p>
        </w:tc>
        <w:tc>
          <w:tcPr>
            <w:tcW w:w="240" w:type="dxa"/>
            <w:vAlign w:val="bottom"/>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4,061,704</w:t>
            </w:r>
          </w:p>
        </w:tc>
        <w:tc>
          <w:tcPr>
            <w:tcW w:w="20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556,452</w:t>
            </w:r>
          </w:p>
        </w:tc>
        <w:tc>
          <w:tcPr>
            <w:tcW w:w="22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10,451,763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9,315,624</w:t>
            </w:r>
          </w:p>
        </w:tc>
        <w:tc>
          <w:tcPr>
            <w:tcW w:w="22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1,276,236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benefit/(expense)</w:t>
            </w:r>
          </w:p>
        </w:tc>
        <w:tc>
          <w:tcPr>
            <w:tcW w:w="12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1,576,385</w:t>
            </w:r>
          </w:p>
        </w:tc>
        <w:tc>
          <w:tcPr>
            <w:tcW w:w="12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(579,789)</w:t>
            </w:r>
          </w:p>
        </w:tc>
        <w:tc>
          <w:tcPr>
            <w:tcW w:w="12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(529,010)</w:t>
            </w:r>
          </w:p>
        </w:tc>
        <w:tc>
          <w:tcPr>
            <w:tcW w:w="12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(72,474)</w:t>
            </w:r>
          </w:p>
        </w:tc>
        <w:tc>
          <w:tcPr>
            <w:tcW w:w="10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1,357,362</w:t>
            </w:r>
          </w:p>
        </w:tc>
        <w:tc>
          <w:tcPr>
            <w:tcW w:w="13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(1,270,374)</w:t>
            </w:r>
          </w:p>
        </w:tc>
        <w:tc>
          <w:tcPr>
            <w:tcW w:w="11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(174,041)</w:t>
            </w:r>
          </w:p>
        </w:tc>
        <w:tc>
          <w:tcPr>
            <w:tcW w:w="0" w:type="dxa"/>
            <w:vAlign w:val="bottom"/>
          </w:tcPr>
          <w:p>
            <w:pPr>
              <w:spacing w:after="0"/>
              <w:rPr>
                <w:sz w:val="1"/>
                <w:szCs w:val="1"/>
                <w:color w:val="auto"/>
              </w:rPr>
            </w:pPr>
          </w:p>
        </w:tc>
      </w:tr>
      <w:tr>
        <w:trPr>
          <w:trHeight w:val="142"/>
        </w:trPr>
        <w:tc>
          <w:tcPr>
            <w:tcW w:w="27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5,752,316</w:t>
            </w:r>
          </w:p>
        </w:tc>
        <w:tc>
          <w:tcPr>
            <w:tcW w:w="2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2,820,490</w:t>
            </w:r>
          </w:p>
        </w:tc>
        <w:tc>
          <w:tcPr>
            <w:tcW w:w="24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3,532,694</w:t>
            </w:r>
          </w:p>
        </w:tc>
        <w:tc>
          <w:tcPr>
            <w:tcW w:w="20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483,978</w:t>
            </w:r>
          </w:p>
        </w:tc>
        <w:tc>
          <w:tcPr>
            <w:tcW w:w="2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11,809,125</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8,045,250</w:t>
            </w:r>
          </w:p>
        </w:tc>
        <w:tc>
          <w:tcPr>
            <w:tcW w:w="2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1,102,195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720" w:type="dxa"/>
            <w:vAlign w:val="bottom"/>
            <w:shd w:val="clear" w:color="auto" w:fill="CCEEFF"/>
          </w:tcPr>
          <w:p>
            <w:pPr>
              <w:ind w:left="180"/>
              <w:spacing w:after="0" w:line="106" w:lineRule="exact"/>
              <w:rPr>
                <w:sz w:val="20"/>
                <w:szCs w:val="20"/>
                <w:color w:val="auto"/>
              </w:rPr>
            </w:pPr>
            <w:r>
              <w:rPr>
                <w:rFonts w:ascii="Times New Roman" w:cs="Times New Roman" w:eastAsia="Times New Roman" w:hAnsi="Times New Roman"/>
                <w:sz w:val="12"/>
                <w:szCs w:val="12"/>
                <w:color w:val="auto"/>
              </w:rPr>
              <w:t>Less: Net income attributable to</w:t>
            </w:r>
          </w:p>
        </w:tc>
        <w:tc>
          <w:tcPr>
            <w:tcW w:w="10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2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94,235</w:t>
            </w:r>
          </w:p>
        </w:tc>
        <w:tc>
          <w:tcPr>
            <w:tcW w:w="12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6,228</w:t>
            </w:r>
          </w:p>
        </w:tc>
        <w:tc>
          <w:tcPr>
            <w:tcW w:w="12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9,757</w:t>
            </w:r>
          </w:p>
        </w:tc>
        <w:tc>
          <w:tcPr>
            <w:tcW w:w="12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1,337</w:t>
            </w:r>
          </w:p>
        </w:tc>
        <w:tc>
          <w:tcPr>
            <w:tcW w:w="10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104,992</w:t>
            </w:r>
          </w:p>
        </w:tc>
        <w:tc>
          <w:tcPr>
            <w:tcW w:w="1360" w:type="dxa"/>
            <w:vAlign w:val="bottom"/>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12,900</w:t>
            </w:r>
          </w:p>
        </w:tc>
        <w:tc>
          <w:tcPr>
            <w:tcW w:w="11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1,767</w:t>
            </w:r>
          </w:p>
        </w:tc>
        <w:tc>
          <w:tcPr>
            <w:tcW w:w="0" w:type="dxa"/>
            <w:vAlign w:val="bottom"/>
          </w:tcPr>
          <w:p>
            <w:pPr>
              <w:spacing w:after="0"/>
              <w:rPr>
                <w:sz w:val="1"/>
                <w:szCs w:val="1"/>
                <w:color w:val="auto"/>
              </w:rPr>
            </w:pPr>
          </w:p>
        </w:tc>
      </w:tr>
      <w:tr>
        <w:trPr>
          <w:trHeight w:val="104"/>
        </w:trPr>
        <w:tc>
          <w:tcPr>
            <w:tcW w:w="272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Net income attributable to ordinary</w:t>
            </w:r>
          </w:p>
        </w:tc>
        <w:tc>
          <w:tcPr>
            <w:tcW w:w="10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shareholders of Li Auto Inc.</w:t>
            </w: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5,658,081</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2,814,262</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3,522,937</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482,641</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11,704,133</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8,032,350</w:t>
            </w:r>
          </w:p>
        </w:tc>
        <w:tc>
          <w:tcPr>
            <w:tcW w:w="11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1,100,428</w:t>
            </w:r>
          </w:p>
        </w:tc>
        <w:tc>
          <w:tcPr>
            <w:tcW w:w="0" w:type="dxa"/>
            <w:vAlign w:val="bottom"/>
          </w:tcPr>
          <w:p>
            <w:pPr>
              <w:spacing w:after="0"/>
              <w:rPr>
                <w:sz w:val="1"/>
                <w:szCs w:val="1"/>
                <w:color w:val="auto"/>
              </w:rPr>
            </w:pPr>
          </w:p>
        </w:tc>
      </w:tr>
      <w:tr>
        <w:trPr>
          <w:trHeight w:val="129"/>
        </w:trPr>
        <w:tc>
          <w:tcPr>
            <w:tcW w:w="27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5,752,316</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2,820,490</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3,532,694</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483,978</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11,809,125</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8,045,250</w:t>
            </w:r>
          </w:p>
        </w:tc>
        <w:tc>
          <w:tcPr>
            <w:tcW w:w="11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1,102,195</w:t>
            </w:r>
          </w:p>
        </w:tc>
        <w:tc>
          <w:tcPr>
            <w:tcW w:w="0" w:type="dxa"/>
            <w:vAlign w:val="bottom"/>
          </w:tcPr>
          <w:p>
            <w:pPr>
              <w:spacing w:after="0"/>
              <w:rPr>
                <w:sz w:val="1"/>
                <w:szCs w:val="1"/>
                <w:color w:val="auto"/>
              </w:rPr>
            </w:pPr>
          </w:p>
        </w:tc>
      </w:tr>
      <w:tr>
        <w:trPr>
          <w:trHeight w:val="142"/>
        </w:trPr>
        <w:tc>
          <w:tcPr>
            <w:tcW w:w="27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Other comprehensive income/(loss)</w:t>
            </w:r>
          </w:p>
        </w:tc>
        <w:tc>
          <w:tcPr>
            <w:tcW w:w="10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of tax</w:t>
            </w: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40,438</w:t>
            </w:r>
          </w:p>
        </w:tc>
        <w:tc>
          <w:tcPr>
            <w:tcW w:w="12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(136,283)</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236,903</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32,456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(30,766)</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53,128</w:t>
            </w:r>
          </w:p>
        </w:tc>
        <w:tc>
          <w:tcPr>
            <w:tcW w:w="11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7,279</w:t>
            </w:r>
          </w:p>
        </w:tc>
        <w:tc>
          <w:tcPr>
            <w:tcW w:w="0" w:type="dxa"/>
            <w:vAlign w:val="bottom"/>
          </w:tcPr>
          <w:p>
            <w:pPr>
              <w:spacing w:after="0"/>
              <w:rPr>
                <w:sz w:val="1"/>
                <w:szCs w:val="1"/>
                <w:color w:val="auto"/>
              </w:rPr>
            </w:pPr>
          </w:p>
        </w:tc>
      </w:tr>
      <w:tr>
        <w:trPr>
          <w:trHeight w:val="142"/>
        </w:trPr>
        <w:tc>
          <w:tcPr>
            <w:tcW w:w="27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other comprehensive income/(loss)</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40,438</w:t>
            </w:r>
          </w:p>
        </w:tc>
        <w:tc>
          <w:tcPr>
            <w:tcW w:w="2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(136,283</w:t>
            </w:r>
          </w:p>
        </w:tc>
        <w:tc>
          <w:tcPr>
            <w:tcW w:w="240" w:type="dxa"/>
            <w:vAlign w:val="bottom"/>
            <w:tcBorders>
              <w:top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236,903</w:t>
            </w:r>
          </w:p>
        </w:tc>
        <w:tc>
          <w:tcPr>
            <w:tcW w:w="2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32,456</w:t>
            </w: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(30,766</w:t>
            </w:r>
          </w:p>
        </w:tc>
        <w:tc>
          <w:tcPr>
            <w:tcW w:w="8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53,128</w:t>
            </w: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7,279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5,792,754</w:t>
            </w:r>
          </w:p>
        </w:tc>
        <w:tc>
          <w:tcPr>
            <w:tcW w:w="26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2,684,207</w:t>
            </w:r>
          </w:p>
        </w:tc>
        <w:tc>
          <w:tcPr>
            <w:tcW w:w="2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3,769,597</w:t>
            </w:r>
          </w:p>
        </w:tc>
        <w:tc>
          <w:tcPr>
            <w:tcW w:w="2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516,434</w:t>
            </w: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11,778,359</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8,098,378</w:t>
            </w: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1,109,474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720" w:type="dxa"/>
            <w:vAlign w:val="bottom"/>
            <w:shd w:val="clear" w:color="auto" w:fill="CCEEFF"/>
          </w:tcPr>
          <w:p>
            <w:pPr>
              <w:ind w:left="180"/>
              <w:spacing w:after="0" w:line="106" w:lineRule="exact"/>
              <w:rPr>
                <w:sz w:val="20"/>
                <w:szCs w:val="20"/>
                <w:color w:val="auto"/>
              </w:rPr>
            </w:pPr>
            <w:r>
              <w:rPr>
                <w:rFonts w:ascii="Times New Roman" w:cs="Times New Roman" w:eastAsia="Times New Roman" w:hAnsi="Times New Roman"/>
                <w:sz w:val="12"/>
                <w:szCs w:val="12"/>
                <w:color w:val="auto"/>
              </w:rPr>
              <w:t>Less: Net income attributable to</w:t>
            </w:r>
          </w:p>
        </w:tc>
        <w:tc>
          <w:tcPr>
            <w:tcW w:w="10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2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94,235</w:t>
            </w:r>
          </w:p>
        </w:tc>
        <w:tc>
          <w:tcPr>
            <w:tcW w:w="12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6,228</w:t>
            </w:r>
          </w:p>
        </w:tc>
        <w:tc>
          <w:tcPr>
            <w:tcW w:w="12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9,757</w:t>
            </w:r>
          </w:p>
        </w:tc>
        <w:tc>
          <w:tcPr>
            <w:tcW w:w="12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1,337</w:t>
            </w:r>
          </w:p>
        </w:tc>
        <w:tc>
          <w:tcPr>
            <w:tcW w:w="10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104,992</w:t>
            </w:r>
          </w:p>
        </w:tc>
        <w:tc>
          <w:tcPr>
            <w:tcW w:w="1360" w:type="dxa"/>
            <w:vAlign w:val="bottom"/>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12,900</w:t>
            </w:r>
          </w:p>
        </w:tc>
        <w:tc>
          <w:tcPr>
            <w:tcW w:w="11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1,767</w:t>
            </w:r>
          </w:p>
        </w:tc>
        <w:tc>
          <w:tcPr>
            <w:tcW w:w="0" w:type="dxa"/>
            <w:vAlign w:val="bottom"/>
          </w:tcPr>
          <w:p>
            <w:pPr>
              <w:spacing w:after="0"/>
              <w:rPr>
                <w:sz w:val="1"/>
                <w:szCs w:val="1"/>
                <w:color w:val="auto"/>
              </w:rPr>
            </w:pPr>
          </w:p>
        </w:tc>
      </w:tr>
      <w:tr>
        <w:trPr>
          <w:trHeight w:val="104"/>
        </w:trPr>
        <w:tc>
          <w:tcPr>
            <w:tcW w:w="272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Comprehensive income attributable to</w:t>
            </w:r>
          </w:p>
        </w:tc>
        <w:tc>
          <w:tcPr>
            <w:tcW w:w="10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ordinary shareholders of Li Auto Inc.</w:t>
            </w: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5,698,519</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2,677,979</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3,759,840</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515,097</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11,673,367</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8,085,478</w:t>
            </w:r>
          </w:p>
        </w:tc>
        <w:tc>
          <w:tcPr>
            <w:tcW w:w="11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1,107,707</w:t>
            </w:r>
          </w:p>
        </w:tc>
        <w:tc>
          <w:tcPr>
            <w:tcW w:w="0" w:type="dxa"/>
            <w:vAlign w:val="bottom"/>
          </w:tcPr>
          <w:p>
            <w:pPr>
              <w:spacing w:after="0"/>
              <w:rPr>
                <w:sz w:val="1"/>
                <w:szCs w:val="1"/>
                <w:color w:val="auto"/>
              </w:rPr>
            </w:pPr>
          </w:p>
        </w:tc>
      </w:tr>
      <w:tr>
        <w:trPr>
          <w:trHeight w:val="129"/>
        </w:trPr>
        <w:tc>
          <w:tcPr>
            <w:tcW w:w="27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 number of ADSs</w:t>
            </w:r>
          </w:p>
        </w:tc>
        <w:tc>
          <w:tcPr>
            <w:tcW w:w="10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28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989,909,259</w:t>
            </w:r>
          </w:p>
        </w:tc>
        <w:tc>
          <w:tcPr>
            <w:tcW w:w="126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997,934,606</w:t>
            </w:r>
          </w:p>
        </w:tc>
        <w:tc>
          <w:tcPr>
            <w:tcW w:w="122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1,000,250,311</w:t>
            </w:r>
          </w:p>
        </w:tc>
        <w:tc>
          <w:tcPr>
            <w:tcW w:w="12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1,000,250,311</w:t>
            </w:r>
          </w:p>
        </w:tc>
        <w:tc>
          <w:tcPr>
            <w:tcW w:w="10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983,931,880</w:t>
            </w:r>
          </w:p>
        </w:tc>
        <w:tc>
          <w:tcPr>
            <w:tcW w:w="1360" w:type="dxa"/>
            <w:vAlign w:val="bottom"/>
            <w:gridSpan w:val="3"/>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996,595,976</w:t>
            </w:r>
          </w:p>
        </w:tc>
        <w:tc>
          <w:tcPr>
            <w:tcW w:w="11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996,595,976</w:t>
            </w: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28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1,064,538,392</w:t>
            </w:r>
          </w:p>
        </w:tc>
        <w:tc>
          <w:tcPr>
            <w:tcW w:w="126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1,062,727,888</w:t>
            </w:r>
          </w:p>
        </w:tc>
        <w:tc>
          <w:tcPr>
            <w:tcW w:w="122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1,066,897,163</w:t>
            </w:r>
          </w:p>
        </w:tc>
        <w:tc>
          <w:tcPr>
            <w:tcW w:w="12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1,066,897,163</w:t>
            </w:r>
          </w:p>
        </w:tc>
        <w:tc>
          <w:tcPr>
            <w:tcW w:w="10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1,057,688,196</w:t>
            </w:r>
          </w:p>
        </w:tc>
        <w:tc>
          <w:tcPr>
            <w:tcW w:w="1360" w:type="dxa"/>
            <w:vAlign w:val="bottom"/>
            <w:gridSpan w:val="3"/>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1,064,636,715</w:t>
            </w:r>
          </w:p>
        </w:tc>
        <w:tc>
          <w:tcPr>
            <w:tcW w:w="11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1,064,636,715</w:t>
            </w:r>
          </w:p>
        </w:tc>
        <w:tc>
          <w:tcPr>
            <w:tcW w:w="0" w:type="dxa"/>
            <w:vAlign w:val="bottom"/>
          </w:tcPr>
          <w:p>
            <w:pPr>
              <w:spacing w:after="0"/>
              <w:rPr>
                <w:sz w:val="1"/>
                <w:szCs w:val="1"/>
                <w:color w:val="auto"/>
              </w:rPr>
            </w:pPr>
          </w:p>
        </w:tc>
      </w:tr>
      <w:tr>
        <w:trPr>
          <w:trHeight w:val="124"/>
        </w:trPr>
        <w:tc>
          <w:tcPr>
            <w:tcW w:w="272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Net earnings per ADS attributable to</w:t>
            </w: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ordinary shareholders</w:t>
            </w: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28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5.72</w:t>
            </w:r>
          </w:p>
        </w:tc>
        <w:tc>
          <w:tcPr>
            <w:tcW w:w="126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122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3.52</w:t>
            </w:r>
          </w:p>
        </w:tc>
        <w:tc>
          <w:tcPr>
            <w:tcW w:w="12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0.48</w:t>
            </w:r>
          </w:p>
        </w:tc>
        <w:tc>
          <w:tcPr>
            <w:tcW w:w="10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11.90</w:t>
            </w:r>
          </w:p>
        </w:tc>
        <w:tc>
          <w:tcPr>
            <w:tcW w:w="1360" w:type="dxa"/>
            <w:vAlign w:val="bottom"/>
            <w:gridSpan w:val="3"/>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8.06</w:t>
            </w:r>
          </w:p>
        </w:tc>
        <w:tc>
          <w:tcPr>
            <w:tcW w:w="11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49"/>
        </w:trPr>
        <w:tc>
          <w:tcPr>
            <w:tcW w:w="27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28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5.32</w:t>
            </w:r>
          </w:p>
        </w:tc>
        <w:tc>
          <w:tcPr>
            <w:tcW w:w="126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122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12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0.45</w:t>
            </w:r>
          </w:p>
        </w:tc>
        <w:tc>
          <w:tcPr>
            <w:tcW w:w="10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11.10</w:t>
            </w:r>
          </w:p>
        </w:tc>
        <w:tc>
          <w:tcPr>
            <w:tcW w:w="1360" w:type="dxa"/>
            <w:vAlign w:val="bottom"/>
            <w:gridSpan w:val="3"/>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11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24"/>
        </w:trPr>
        <w:tc>
          <w:tcPr>
            <w:tcW w:w="27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Weighted average number of ordinary</w:t>
            </w:r>
          </w:p>
        </w:tc>
        <w:tc>
          <w:tcPr>
            <w:tcW w:w="10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28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1,979,818,518</w:t>
            </w:r>
          </w:p>
        </w:tc>
        <w:tc>
          <w:tcPr>
            <w:tcW w:w="126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1,995,869,212</w:t>
            </w:r>
          </w:p>
        </w:tc>
        <w:tc>
          <w:tcPr>
            <w:tcW w:w="122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2,000,500,621</w:t>
            </w:r>
          </w:p>
        </w:tc>
        <w:tc>
          <w:tcPr>
            <w:tcW w:w="12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2,000,500,621</w:t>
            </w:r>
          </w:p>
        </w:tc>
        <w:tc>
          <w:tcPr>
            <w:tcW w:w="10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1,967,863,759</w:t>
            </w:r>
          </w:p>
        </w:tc>
        <w:tc>
          <w:tcPr>
            <w:tcW w:w="1360" w:type="dxa"/>
            <w:vAlign w:val="bottom"/>
            <w:gridSpan w:val="3"/>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1,993,191,951</w:t>
            </w:r>
          </w:p>
        </w:tc>
        <w:tc>
          <w:tcPr>
            <w:tcW w:w="11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1,993,191,951</w:t>
            </w: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28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2,129,076,784</w:t>
            </w:r>
          </w:p>
        </w:tc>
        <w:tc>
          <w:tcPr>
            <w:tcW w:w="126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2,125,455,776</w:t>
            </w:r>
          </w:p>
        </w:tc>
        <w:tc>
          <w:tcPr>
            <w:tcW w:w="122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2,133,794,325</w:t>
            </w:r>
          </w:p>
        </w:tc>
        <w:tc>
          <w:tcPr>
            <w:tcW w:w="12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2,133,794,325</w:t>
            </w:r>
          </w:p>
        </w:tc>
        <w:tc>
          <w:tcPr>
            <w:tcW w:w="10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2,115,376,392</w:t>
            </w:r>
          </w:p>
        </w:tc>
        <w:tc>
          <w:tcPr>
            <w:tcW w:w="1360" w:type="dxa"/>
            <w:vAlign w:val="bottom"/>
            <w:gridSpan w:val="3"/>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2,129,273,430</w:t>
            </w:r>
          </w:p>
        </w:tc>
        <w:tc>
          <w:tcPr>
            <w:tcW w:w="11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2,129,273,430</w:t>
            </w:r>
          </w:p>
        </w:tc>
        <w:tc>
          <w:tcPr>
            <w:tcW w:w="0" w:type="dxa"/>
            <w:vAlign w:val="bottom"/>
          </w:tcPr>
          <w:p>
            <w:pPr>
              <w:spacing w:after="0"/>
              <w:rPr>
                <w:sz w:val="1"/>
                <w:szCs w:val="1"/>
                <w:color w:val="auto"/>
              </w:rPr>
            </w:pPr>
          </w:p>
        </w:tc>
      </w:tr>
      <w:tr>
        <w:trPr>
          <w:trHeight w:val="124"/>
        </w:trPr>
        <w:tc>
          <w:tcPr>
            <w:tcW w:w="272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Net earnings per share attributable to</w:t>
            </w: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ordinary shareholders</w:t>
            </w: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28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126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22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12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0.24</w:t>
            </w:r>
          </w:p>
        </w:tc>
        <w:tc>
          <w:tcPr>
            <w:tcW w:w="10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5.95</w:t>
            </w:r>
          </w:p>
        </w:tc>
        <w:tc>
          <w:tcPr>
            <w:tcW w:w="1360" w:type="dxa"/>
            <w:vAlign w:val="bottom"/>
            <w:gridSpan w:val="3"/>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11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0.55</w:t>
            </w:r>
          </w:p>
        </w:tc>
        <w:tc>
          <w:tcPr>
            <w:tcW w:w="0" w:type="dxa"/>
            <w:vAlign w:val="bottom"/>
          </w:tcPr>
          <w:p>
            <w:pPr>
              <w:spacing w:after="0"/>
              <w:rPr>
                <w:sz w:val="1"/>
                <w:szCs w:val="1"/>
                <w:color w:val="auto"/>
              </w:rPr>
            </w:pPr>
          </w:p>
        </w:tc>
      </w:tr>
      <w:tr>
        <w:trPr>
          <w:trHeight w:val="188"/>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2.66</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1.33</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1.65</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0.23</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5.55</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3.79</w:t>
            </w:r>
          </w:p>
        </w:tc>
        <w:tc>
          <w:tcPr>
            <w:tcW w:w="11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0.52</w:t>
            </w: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58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91,329,030</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65,901,123</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9,028,417</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479</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6,849</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 and short-term investments</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11,933,255</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46,904,548</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6,425,897</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143,523</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135,112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18,510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6,871,979</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8,185,604</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1,121,423</w:t>
            </w: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4,247,318</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5,176,546</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709,184</w:t>
            </w: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114,525,584</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126,309,782</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17,304,369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1,595,376</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922,897</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126,436</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15,745,018</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21,140,933</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2,896,296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5,939,230</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8,323,963</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1,140,378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864,180</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914,951</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125,348</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5,484</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5,484</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1,990,245</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2,542,180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348,277</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2,802,354</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2,188,888</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299,876</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8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28,941,887</w:t>
            </w:r>
          </w:p>
        </w:tc>
        <w:tc>
          <w:tcPr>
            <w:tcW w:w="22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36,039,296</w:t>
            </w:r>
          </w:p>
        </w:tc>
        <w:tc>
          <w:tcPr>
            <w:tcW w:w="22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4,937,362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143,467,471</w:t>
            </w:r>
          </w:p>
        </w:tc>
        <w:tc>
          <w:tcPr>
            <w:tcW w:w="2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162,349,078</w:t>
            </w:r>
          </w:p>
        </w:tc>
        <w:tc>
          <w:tcPr>
            <w:tcW w:w="2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22,241,731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6,975,399</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281,102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38,511</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notes payable</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51,870,097</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53,596,194</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7,342,648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10,607</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11,492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1,525,543</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1,396,489</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191,318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1,146,437</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1,438,092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197,018</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16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95,205</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13,043</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11,214,626</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12,397,322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1,698,426</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72,742,709</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69,215,896</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9,482,538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1,747,070</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8,151,598</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1,116,764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812,218</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720,531</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98,712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3,677,961</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5,735,738</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785,793</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168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642,984</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88,088</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200,877</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864,999</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118,504</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3,711,414</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5,696,950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780,479</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10,149,540</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21,812,800</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2,988,340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8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82,892,249</w:t>
            </w:r>
          </w:p>
        </w:tc>
        <w:tc>
          <w:tcPr>
            <w:tcW w:w="2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91,028,696</w:t>
            </w:r>
          </w:p>
        </w:tc>
        <w:tc>
          <w:tcPr>
            <w:tcW w:w="2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12,470,878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 Auto Inc. shareholders’ equity</w:t>
            </w:r>
          </w:p>
        </w:tc>
        <w:tc>
          <w:tcPr>
            <w:tcW w:w="168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60,142,624</w:t>
            </w:r>
          </w:p>
        </w:tc>
        <w:tc>
          <w:tcPr>
            <w:tcW w:w="22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70,874,884</w:t>
            </w:r>
          </w:p>
        </w:tc>
        <w:tc>
          <w:tcPr>
            <w:tcW w:w="22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9,709,820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432,598</w:t>
            </w:r>
          </w:p>
        </w:tc>
        <w:tc>
          <w:tcPr>
            <w:tcW w:w="2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445,498</w:t>
            </w:r>
          </w:p>
        </w:tc>
        <w:tc>
          <w:tcPr>
            <w:tcW w:w="2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61,033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8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60,575,222</w:t>
            </w:r>
          </w:p>
        </w:tc>
        <w:tc>
          <w:tcPr>
            <w:tcW w:w="22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71,320,382</w:t>
            </w:r>
          </w:p>
        </w:tc>
        <w:tc>
          <w:tcPr>
            <w:tcW w:w="22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9,770,853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143,467,471</w:t>
            </w:r>
          </w:p>
        </w:tc>
        <w:tc>
          <w:tcPr>
            <w:tcW w:w="2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162,349,078</w:t>
            </w:r>
          </w:p>
        </w:tc>
        <w:tc>
          <w:tcPr>
            <w:tcW w:w="2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22,241,731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14</w:t>
            </w: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20" w:type="dxa"/>
            <w:vAlign w:val="bottom"/>
          </w:tcPr>
          <w:p>
            <w:pPr>
              <w:spacing w:after="0"/>
              <w:rPr>
                <w:sz w:val="10"/>
                <w:szCs w:val="10"/>
                <w:color w:val="auto"/>
              </w:rPr>
            </w:pPr>
          </w:p>
        </w:tc>
        <w:tc>
          <w:tcPr>
            <w:tcW w:w="12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c>
          <w:tcPr>
            <w:tcW w:w="108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0"/>
                <w:szCs w:val="10"/>
                <w:color w:val="auto"/>
              </w:rPr>
            </w:pPr>
          </w:p>
        </w:tc>
        <w:tc>
          <w:tcPr>
            <w:tcW w:w="12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11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2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17,294,228</w:t>
            </w:r>
          </w:p>
        </w:tc>
        <w:tc>
          <w:tcPr>
            <w:tcW w:w="12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11,024,642</w:t>
            </w:r>
          </w:p>
        </w:tc>
        <w:tc>
          <w:tcPr>
            <w:tcW w:w="12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8,680,301</w:t>
            </w: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1,189,196</w:t>
            </w:r>
          </w:p>
        </w:tc>
        <w:tc>
          <w:tcPr>
            <w:tcW w:w="10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50,693,521</w:t>
            </w:r>
          </w:p>
        </w:tc>
        <w:tc>
          <w:tcPr>
            <w:tcW w:w="13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15,933,160</w:t>
            </w:r>
          </w:p>
        </w:tc>
        <w:tc>
          <w:tcPr>
            <w:tcW w:w="11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2,182,834</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2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(469,104)</w:t>
            </w:r>
          </w:p>
        </w:tc>
        <w:tc>
          <w:tcPr>
            <w:tcW w:w="12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(14,212,597)</w:t>
            </w:r>
          </w:p>
        </w:tc>
        <w:tc>
          <w:tcPr>
            <w:tcW w:w="1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(19,987,058)</w:t>
            </w:r>
          </w:p>
        </w:tc>
        <w:tc>
          <w:tcPr>
            <w:tcW w:w="1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(2,738,216)</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(12,068)</w:t>
            </w:r>
          </w:p>
        </w:tc>
        <w:tc>
          <w:tcPr>
            <w:tcW w:w="13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(41,137,169)</w:t>
            </w: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(5,635,769)</w:t>
            </w: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cash provided by/(used in) financing</w:t>
            </w: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863,355</w:t>
            </w:r>
          </w:p>
        </w:tc>
        <w:tc>
          <w:tcPr>
            <w:tcW w:w="12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238,305</w:t>
            </w: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(734,467)</w:t>
            </w: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(100,622)</w:t>
            </w:r>
          </w:p>
        </w:tc>
        <w:tc>
          <w:tcPr>
            <w:tcW w:w="10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185,385</w:t>
            </w:r>
          </w:p>
        </w:tc>
        <w:tc>
          <w:tcPr>
            <w:tcW w:w="13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(415,648)</w:t>
            </w:r>
          </w:p>
        </w:tc>
        <w:tc>
          <w:tcPr>
            <w:tcW w:w="11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(56,944)</w:t>
            </w: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activities</w:t>
            </w:r>
          </w:p>
        </w:tc>
        <w:tc>
          <w:tcPr>
            <w:tcW w:w="1280" w:type="dxa"/>
            <w:vAlign w:val="bottom"/>
            <w:gridSpan w:val="2"/>
            <w:vMerge w:val="continue"/>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360" w:type="dxa"/>
            <w:vAlign w:val="bottom"/>
            <w:gridSpan w:val="3"/>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equivalents and restricted cash</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(48,180)</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(245,692)</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355,742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48,737</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44,513</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198,120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27,143</w:t>
            </w:r>
          </w:p>
        </w:tc>
        <w:tc>
          <w:tcPr>
            <w:tcW w:w="0" w:type="dxa"/>
            <w:vAlign w:val="bottom"/>
          </w:tcPr>
          <w:p>
            <w:pPr>
              <w:spacing w:after="0"/>
              <w:rPr>
                <w:sz w:val="1"/>
                <w:szCs w:val="1"/>
                <w:color w:val="auto"/>
              </w:rPr>
            </w:pPr>
          </w:p>
        </w:tc>
      </w:tr>
      <w:tr>
        <w:trPr>
          <w:trHeight w:val="20"/>
        </w:trPr>
        <w:tc>
          <w:tcPr>
            <w:tcW w:w="2720" w:type="dxa"/>
            <w:vAlign w:val="bottom"/>
            <w:vMerge w:val="restart"/>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Net change in cash, cash equivalents and</w:t>
            </w: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720" w:type="dxa"/>
            <w:vAlign w:val="bottom"/>
            <w:vMerge w:val="continue"/>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(3,195,342)</w:t>
            </w: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(11,685,482)</w:t>
            </w: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(1,600,905)</w:t>
            </w: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(25,421,537)</w:t>
            </w:r>
          </w:p>
        </w:tc>
        <w:tc>
          <w:tcPr>
            <w:tcW w:w="11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(3,482,736)</w:t>
            </w:r>
          </w:p>
        </w:tc>
        <w:tc>
          <w:tcPr>
            <w:tcW w:w="0" w:type="dxa"/>
            <w:vAlign w:val="bottom"/>
          </w:tcPr>
          <w:p>
            <w:pPr>
              <w:spacing w:after="0"/>
              <w:rPr>
                <w:sz w:val="1"/>
                <w:szCs w:val="1"/>
                <w:color w:val="auto"/>
              </w:rPr>
            </w:pPr>
          </w:p>
        </w:tc>
      </w:tr>
      <w:tr>
        <w:trPr>
          <w:trHeight w:val="187"/>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restricted cash</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17,640,299</w:t>
            </w:r>
          </w:p>
        </w:tc>
        <w:tc>
          <w:tcPr>
            <w:tcW w:w="1260" w:type="dxa"/>
            <w:vAlign w:val="bottom"/>
            <w:gridSpan w:val="2"/>
            <w:vMerge w:val="continue"/>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50,911,351</w:t>
            </w:r>
          </w:p>
        </w:tc>
        <w:tc>
          <w:tcPr>
            <w:tcW w:w="1360" w:type="dxa"/>
            <w:vAlign w:val="bottom"/>
            <w:gridSpan w:val="3"/>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272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Cash, cash equivalents and restricted cash at</w:t>
            </w:r>
          </w:p>
        </w:tc>
        <w:tc>
          <w:tcPr>
            <w:tcW w:w="10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beginning of period</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73,689,210</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80,788,796</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77,593,454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10,630,260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40,418,158</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91,329,509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12,512,091</w:t>
            </w:r>
          </w:p>
        </w:tc>
        <w:tc>
          <w:tcPr>
            <w:tcW w:w="0" w:type="dxa"/>
            <w:vAlign w:val="bottom"/>
          </w:tcPr>
          <w:p>
            <w:pPr>
              <w:spacing w:after="0"/>
              <w:rPr>
                <w:sz w:val="1"/>
                <w:szCs w:val="1"/>
                <w:color w:val="auto"/>
              </w:rPr>
            </w:pPr>
          </w:p>
        </w:tc>
      </w:tr>
      <w:tr>
        <w:trPr>
          <w:trHeight w:val="104"/>
        </w:trPr>
        <w:tc>
          <w:tcPr>
            <w:tcW w:w="272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Cash, cash equivalents and restricted cash</w:t>
            </w:r>
          </w:p>
        </w:tc>
        <w:tc>
          <w:tcPr>
            <w:tcW w:w="10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at end of period</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91,329,509</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77,593,454</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65,907,972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9,029,355</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91,329,509</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65,907,972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9,029,355</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line="1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Net cash provided by operating activities </w:t>
      </w:r>
      <w:r>
        <w:rPr>
          <w:rFonts w:ascii="Times New Roman" w:cs="Times New Roman" w:eastAsia="Times New Roman" w:hAnsi="Times New Roman"/>
          <w:sz w:val="14"/>
          <w:szCs w:val="14"/>
          <w:color w:val="auto"/>
        </w:rPr>
        <w:t>Capital expenditures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Free cash flow (non-GAAP)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17,294,228</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11,024,642</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8,680,301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1,189,196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50,693,521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15,933,160</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2,182,834</w:t>
            </w:r>
          </w:p>
        </w:tc>
        <w:tc>
          <w:tcPr>
            <w:tcW w:w="40" w:type="dxa"/>
            <w:vAlign w:val="bottom"/>
          </w:tcPr>
          <w:p>
            <w:pPr>
              <w:spacing w:after="0"/>
              <w:rPr>
                <w:sz w:val="13"/>
                <w:szCs w:val="13"/>
                <w:color w:val="auto"/>
              </w:rPr>
            </w:pPr>
          </w:p>
        </w:tc>
      </w:tr>
      <w:tr>
        <w:trPr>
          <w:trHeight w:val="185"/>
        </w:trPr>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(2,656,106)</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(1,972,878)</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(2,620,969)</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(359,071)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(6,507,189)</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(7,730,022)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(1,059,009)</w:t>
            </w:r>
          </w:p>
        </w:tc>
      </w:tr>
      <w:tr>
        <w:trPr>
          <w:trHeight w:val="156"/>
        </w:trPr>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14,638,122</w:t>
            </w:r>
          </w:p>
        </w:tc>
        <w:tc>
          <w:tcPr>
            <w:tcW w:w="26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9,051,764</w:t>
            </w:r>
          </w:p>
        </w:tc>
        <w:tc>
          <w:tcPr>
            <w:tcW w:w="24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6,059,332</w:t>
            </w:r>
          </w:p>
        </w:tc>
        <w:tc>
          <w:tcPr>
            <w:tcW w:w="2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830,125</w:t>
            </w:r>
          </w:p>
        </w:tc>
        <w:tc>
          <w:tcPr>
            <w:tcW w:w="2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44,186,332</w:t>
            </w:r>
          </w:p>
        </w:tc>
        <w:tc>
          <w:tcPr>
            <w:tcW w:w="2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8,203,138</w:t>
            </w:r>
          </w:p>
        </w:tc>
        <w:tc>
          <w:tcPr>
            <w:tcW w:w="2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1,123,825</w:t>
            </w:r>
          </w:p>
        </w:tc>
        <w:tc>
          <w:tcPr>
            <w:tcW w:w="40" w:type="dxa"/>
            <w:vAlign w:val="bottom"/>
          </w:tcPr>
          <w:p>
            <w:pPr>
              <w:spacing w:after="0"/>
              <w:rPr>
                <w:sz w:val="13"/>
                <w:szCs w:val="13"/>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-334010</wp:posOffset>
            </wp:positionV>
            <wp:extent cx="7132320" cy="94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-136525</wp:posOffset>
            </wp:positionV>
            <wp:extent cx="7132320"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200"/>
            <w:col w:w="8520"/>
          </w:cols>
          <w:pgMar w:left="320" w:top="900" w:right="339" w:bottom="1440" w:gutter="0" w:footer="0" w:header="0"/>
          <w:type w:val="continuous"/>
        </w:sect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Reconciliation of U.S. GAAP and Non-GAAP Results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except for ADS/ordinary share and per ADS/ordinary share data)</w:t>
      </w:r>
    </w:p>
    <w:p>
      <w:pPr>
        <w:sectPr>
          <w:pgSz w:w="11900" w:h="16838" w:orient="portrait"/>
          <w:cols w:equalWidth="0" w:num="1">
            <w:col w:w="11220"/>
          </w:cols>
          <w:pgMar w:left="320" w:top="90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of sales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Share-based compensation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cost of sales</w:t>
      </w:r>
    </w:p>
    <w:p>
      <w:pPr>
        <w:spacing w:after="0" w:line="188" w:lineRule="exact"/>
        <w:rPr>
          <w:sz w:val="20"/>
          <w:szCs w:val="20"/>
          <w:color w:val="auto"/>
        </w:rPr>
      </w:pPr>
    </w:p>
    <w:p>
      <w:pPr>
        <w:ind w:right="440"/>
        <w:spacing w:after="0" w:line="243" w:lineRule="auto"/>
        <w:rPr>
          <w:sz w:val="20"/>
          <w:szCs w:val="20"/>
          <w:color w:val="auto"/>
        </w:rPr>
      </w:pPr>
      <w:r>
        <w:rPr>
          <w:rFonts w:ascii="Times New Roman" w:cs="Times New Roman" w:eastAsia="Times New Roman" w:hAnsi="Times New Roman"/>
          <w:sz w:val="14"/>
          <w:szCs w:val="14"/>
          <w:color w:val="auto"/>
        </w:rPr>
        <w:t>Research and development expenses Share-based compensation expenses</w:t>
      </w:r>
    </w:p>
    <w:p>
      <w:pPr>
        <w:spacing w:after="0" w:line="1" w:lineRule="exact"/>
        <w:rPr>
          <w:sz w:val="20"/>
          <w:szCs w:val="20"/>
          <w:color w:val="auto"/>
        </w:rPr>
      </w:pPr>
    </w:p>
    <w:p>
      <w:pPr>
        <w:ind w:left="180" w:right="200" w:hanging="181"/>
        <w:spacing w:after="0" w:line="239" w:lineRule="auto"/>
        <w:rPr>
          <w:sz w:val="20"/>
          <w:szCs w:val="20"/>
          <w:color w:val="auto"/>
        </w:rPr>
      </w:pPr>
      <w:r>
        <w:rPr>
          <w:rFonts w:ascii="Times New Roman" w:cs="Times New Roman" w:eastAsia="Times New Roman" w:hAnsi="Times New Roman"/>
          <w:sz w:val="14"/>
          <w:szCs w:val="14"/>
          <w:b w:val="1"/>
          <w:bCs w:val="1"/>
          <w:color w:val="auto"/>
        </w:rPr>
        <w:t>Non-GAAP research and development expenses</w:t>
      </w:r>
    </w:p>
    <w:p>
      <w:pPr>
        <w:spacing w:after="0" w:line="17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Selling, general and administrative expenses Share-based compensation expenses</w:t>
      </w:r>
    </w:p>
    <w:p>
      <w:pPr>
        <w:spacing w:after="0" w:line="1" w:lineRule="exact"/>
        <w:rPr>
          <w:sz w:val="20"/>
          <w:szCs w:val="20"/>
          <w:color w:val="auto"/>
        </w:rPr>
      </w:pPr>
    </w:p>
    <w:p>
      <w:pPr>
        <w:ind w:left="180" w:right="620" w:hanging="181"/>
        <w:spacing w:after="0" w:line="239" w:lineRule="auto"/>
        <w:rPr>
          <w:sz w:val="20"/>
          <w:szCs w:val="20"/>
          <w:color w:val="auto"/>
        </w:rPr>
      </w:pPr>
      <w:r>
        <w:rPr>
          <w:rFonts w:ascii="Times New Roman" w:cs="Times New Roman" w:eastAsia="Times New Roman" w:hAnsi="Times New Roman"/>
          <w:sz w:val="14"/>
          <w:szCs w:val="14"/>
          <w:b w:val="1"/>
          <w:bCs w:val="1"/>
          <w:color w:val="auto"/>
        </w:rPr>
        <w:t>Non-GAAP selling, general and administrative expenses</w:t>
      </w:r>
    </w:p>
    <w:p>
      <w:pPr>
        <w:spacing w:after="0" w:line="176" w:lineRule="exact"/>
        <w:rPr>
          <w:sz w:val="20"/>
          <w:szCs w:val="20"/>
          <w:color w:val="auto"/>
        </w:rPr>
      </w:pPr>
    </w:p>
    <w:p>
      <w:pPr>
        <w:ind w:right="460"/>
        <w:spacing w:after="0" w:line="243" w:lineRule="auto"/>
        <w:rPr>
          <w:sz w:val="20"/>
          <w:szCs w:val="20"/>
          <w:color w:val="auto"/>
        </w:rPr>
      </w:pPr>
      <w:r>
        <w:rPr>
          <w:rFonts w:ascii="Times New Roman" w:cs="Times New Roman" w:eastAsia="Times New Roman" w:hAnsi="Times New Roman"/>
          <w:sz w:val="14"/>
          <w:szCs w:val="14"/>
          <w:color w:val="auto"/>
        </w:rPr>
        <w:t>Income from operations Share-based compensation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income from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income</w:t>
      </w:r>
    </w:p>
    <w:p>
      <w:pPr>
        <w:spacing w:after="0" w:line="226" w:lineRule="auto"/>
        <w:rPr>
          <w:sz w:val="20"/>
          <w:szCs w:val="20"/>
          <w:color w:val="auto"/>
        </w:rPr>
      </w:pPr>
      <w:r>
        <w:rPr>
          <w:rFonts w:ascii="Times New Roman" w:cs="Times New Roman" w:eastAsia="Times New Roman" w:hAnsi="Times New Roman"/>
          <w:sz w:val="14"/>
          <w:szCs w:val="14"/>
          <w:color w:val="auto"/>
        </w:rPr>
        <w:t>Share-based compensation expenses</w:t>
      </w:r>
    </w:p>
    <w:p>
      <w:pPr>
        <w:spacing w:after="0" w:line="222" w:lineRule="auto"/>
        <w:rPr>
          <w:sz w:val="20"/>
          <w:szCs w:val="20"/>
          <w:color w:val="auto"/>
        </w:rPr>
      </w:pPr>
      <w:r>
        <w:rPr>
          <w:rFonts w:ascii="Times New Roman" w:cs="Times New Roman" w:eastAsia="Times New Roman" w:hAnsi="Times New Roman"/>
          <w:sz w:val="14"/>
          <w:szCs w:val="14"/>
          <w:color w:val="auto"/>
        </w:rPr>
        <w:t>Release of valuation allowance on deferred</w:t>
      </w:r>
    </w:p>
    <w:p>
      <w:pPr>
        <w:ind w:left="180"/>
        <w:spacing w:after="0"/>
        <w:rPr>
          <w:sz w:val="20"/>
          <w:szCs w:val="20"/>
          <w:color w:val="auto"/>
        </w:rPr>
      </w:pPr>
      <w:r>
        <w:rPr>
          <w:rFonts w:ascii="Times New Roman" w:cs="Times New Roman" w:eastAsia="Times New Roman" w:hAnsi="Times New Roman"/>
          <w:sz w:val="14"/>
          <w:szCs w:val="14"/>
          <w:color w:val="auto"/>
        </w:rPr>
        <w:t>tax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net income</w:t>
      </w:r>
      <w:r>
        <w:rPr>
          <w:rFonts w:ascii="Times New Roman" w:cs="Times New Roman" w:eastAsia="Times New Roman" w:hAnsi="Times New Roman"/>
          <w:sz w:val="23"/>
          <w:szCs w:val="23"/>
          <w:b w:val="1"/>
          <w:bCs w:val="1"/>
          <w:color w:val="auto"/>
          <w:vertAlign w:val="superscript"/>
        </w:rPr>
        <w:t>8</w:t>
      </w:r>
    </w:p>
    <w:p>
      <w:pPr>
        <w:spacing w:after="0" w:line="117" w:lineRule="exact"/>
        <w:rPr>
          <w:sz w:val="20"/>
          <w:szCs w:val="20"/>
          <w:color w:val="auto"/>
        </w:rPr>
      </w:pPr>
    </w:p>
    <w:p>
      <w:pPr>
        <w:ind w:left="180" w:right="520" w:hanging="181"/>
        <w:spacing w:after="0" w:line="233" w:lineRule="auto"/>
        <w:rPr>
          <w:sz w:val="20"/>
          <w:szCs w:val="20"/>
          <w:color w:val="auto"/>
        </w:rPr>
      </w:pPr>
      <w:r>
        <w:rPr>
          <w:rFonts w:ascii="Times New Roman" w:cs="Times New Roman" w:eastAsia="Times New Roman" w:hAnsi="Times New Roman"/>
          <w:sz w:val="14"/>
          <w:szCs w:val="14"/>
          <w:color w:val="auto"/>
        </w:rPr>
        <w:t>Net income attributable to ordinary shareholders of Li Auto Inc.</w:t>
      </w:r>
    </w:p>
    <w:p>
      <w:pPr>
        <w:ind w:right="60"/>
        <w:spacing w:after="0" w:line="221" w:lineRule="auto"/>
        <w:rPr>
          <w:sz w:val="20"/>
          <w:szCs w:val="20"/>
          <w:color w:val="auto"/>
        </w:rPr>
      </w:pPr>
      <w:r>
        <w:rPr>
          <w:rFonts w:ascii="Times New Roman" w:cs="Times New Roman" w:eastAsia="Times New Roman" w:hAnsi="Times New Roman"/>
          <w:sz w:val="14"/>
          <w:szCs w:val="14"/>
          <w:color w:val="auto"/>
        </w:rPr>
        <w:t>Share-based compensation expenses Release of valuation allowance on deferred</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tax assets</w:t>
      </w:r>
    </w:p>
    <w:p>
      <w:pPr>
        <w:spacing w:after="0" w:line="1" w:lineRule="exact"/>
        <w:rPr>
          <w:sz w:val="20"/>
          <w:szCs w:val="20"/>
          <w:color w:val="auto"/>
        </w:rPr>
      </w:pPr>
    </w:p>
    <w:p>
      <w:pPr>
        <w:ind w:left="180" w:right="60" w:hanging="181"/>
        <w:spacing w:after="0" w:line="239" w:lineRule="auto"/>
        <w:rPr>
          <w:sz w:val="20"/>
          <w:szCs w:val="20"/>
          <w:color w:val="auto"/>
        </w:rPr>
      </w:pPr>
      <w:r>
        <w:rPr>
          <w:rFonts w:ascii="Times New Roman" w:cs="Times New Roman" w:eastAsia="Times New Roman" w:hAnsi="Times New Roman"/>
          <w:sz w:val="14"/>
          <w:szCs w:val="14"/>
          <w:b w:val="1"/>
          <w:bCs w:val="1"/>
          <w:color w:val="auto"/>
        </w:rPr>
        <w:t>Non-GAAP net income attributable to ordinary shareholders of Li Auto Inc.</w:t>
      </w:r>
    </w:p>
    <w:p>
      <w:pPr>
        <w:spacing w:after="0" w:line="174" w:lineRule="exact"/>
        <w:rPr>
          <w:sz w:val="20"/>
          <w:szCs w:val="20"/>
          <w:color w:val="auto"/>
        </w:rPr>
      </w:pPr>
    </w:p>
    <w:p>
      <w:pPr>
        <w:ind w:left="180" w:right="400" w:hanging="179"/>
        <w:spacing w:after="0" w:line="234" w:lineRule="auto"/>
        <w:rPr>
          <w:sz w:val="20"/>
          <w:szCs w:val="20"/>
          <w:color w:val="auto"/>
        </w:rPr>
      </w:pPr>
      <w:r>
        <w:rPr>
          <w:rFonts w:ascii="Times New Roman" w:cs="Times New Roman" w:eastAsia="Times New Roman" w:hAnsi="Times New Roman"/>
          <w:sz w:val="14"/>
          <w:szCs w:val="14"/>
          <w:b w:val="1"/>
          <w:bCs w:val="1"/>
          <w:color w:val="auto"/>
        </w:rPr>
        <w:t xml:space="preserve">Weighted average number of ADSs </w:t>
      </w:r>
      <w:r>
        <w:rPr>
          <w:rFonts w:ascii="Times New Roman" w:cs="Times New Roman" w:eastAsia="Times New Roman" w:hAnsi="Times New Roman"/>
          <w:sz w:val="14"/>
          <w:szCs w:val="14"/>
          <w:color w:val="auto"/>
        </w:rPr>
        <w:t>Basic</w:t>
      </w:r>
    </w:p>
    <w:p>
      <w:pPr>
        <w:ind w:left="180"/>
        <w:spacing w:after="0" w:line="222" w:lineRule="auto"/>
        <w:rPr>
          <w:sz w:val="20"/>
          <w:szCs w:val="20"/>
          <w:color w:val="auto"/>
        </w:rPr>
      </w:pPr>
      <w:r>
        <w:rPr>
          <w:rFonts w:ascii="Times New Roman" w:cs="Times New Roman" w:eastAsia="Times New Roman" w:hAnsi="Times New Roman"/>
          <w:sz w:val="14"/>
          <w:szCs w:val="14"/>
          <w:color w:val="auto"/>
        </w:rPr>
        <w:t>Diluted</w:t>
      </w:r>
    </w:p>
    <w:p>
      <w:pPr>
        <w:spacing w:after="0" w:line="1" w:lineRule="exact"/>
        <w:rPr>
          <w:sz w:val="20"/>
          <w:szCs w:val="20"/>
          <w:color w:val="auto"/>
        </w:rPr>
      </w:pPr>
    </w:p>
    <w:p>
      <w:pPr>
        <w:ind w:left="180" w:right="80" w:hanging="179"/>
        <w:spacing w:after="0" w:line="221" w:lineRule="auto"/>
        <w:rPr>
          <w:sz w:val="20"/>
          <w:szCs w:val="20"/>
          <w:color w:val="auto"/>
        </w:rPr>
      </w:pPr>
      <w:r>
        <w:rPr>
          <w:rFonts w:ascii="Times New Roman" w:cs="Times New Roman" w:eastAsia="Times New Roman" w:hAnsi="Times New Roman"/>
          <w:sz w:val="14"/>
          <w:szCs w:val="14"/>
          <w:b w:val="1"/>
          <w:bCs w:val="1"/>
          <w:color w:val="auto"/>
        </w:rPr>
        <w:t xml:space="preserve">Non-GAAP net earnings per ADS attributable to ordinary shareholders </w:t>
      </w:r>
      <w:r>
        <w:rPr>
          <w:rFonts w:ascii="Times New Roman" w:cs="Times New Roman" w:eastAsia="Times New Roman" w:hAnsi="Times New Roman"/>
          <w:sz w:val="14"/>
          <w:szCs w:val="14"/>
          <w:color w:val="auto"/>
        </w:rPr>
        <w:t>Basic</w:t>
      </w:r>
    </w:p>
    <w:p>
      <w:pPr>
        <w:ind w:left="180"/>
        <w:spacing w:after="0" w:line="222" w:lineRule="auto"/>
        <w:rPr>
          <w:sz w:val="20"/>
          <w:szCs w:val="20"/>
          <w:color w:val="auto"/>
        </w:rPr>
      </w:pPr>
      <w:r>
        <w:rPr>
          <w:rFonts w:ascii="Times New Roman" w:cs="Times New Roman" w:eastAsia="Times New Roman" w:hAnsi="Times New Roman"/>
          <w:sz w:val="14"/>
          <w:szCs w:val="14"/>
          <w:color w:val="auto"/>
        </w:rPr>
        <w:t>Diluted</w:t>
      </w:r>
    </w:p>
    <w:p>
      <w:pPr>
        <w:ind w:left="160" w:right="200" w:hanging="144"/>
        <w:spacing w:after="0" w:line="221" w:lineRule="auto"/>
        <w:rPr>
          <w:sz w:val="20"/>
          <w:szCs w:val="20"/>
          <w:color w:val="auto"/>
        </w:rPr>
      </w:pPr>
      <w:r>
        <w:rPr>
          <w:rFonts w:ascii="Times New Roman" w:cs="Times New Roman" w:eastAsia="Times New Roman" w:hAnsi="Times New Roman"/>
          <w:sz w:val="14"/>
          <w:szCs w:val="14"/>
          <w:b w:val="1"/>
          <w:bCs w:val="1"/>
          <w:color w:val="auto"/>
        </w:rPr>
        <w:t>Weighted average number of ordinary shares</w:t>
      </w:r>
    </w:p>
    <w:p>
      <w:pPr>
        <w:ind w:left="180"/>
        <w:spacing w:after="0" w:line="222" w:lineRule="auto"/>
        <w:rPr>
          <w:sz w:val="20"/>
          <w:szCs w:val="20"/>
          <w:color w:val="auto"/>
        </w:rPr>
      </w:pPr>
      <w:r>
        <w:rPr>
          <w:rFonts w:ascii="Times New Roman" w:cs="Times New Roman" w:eastAsia="Times New Roman" w:hAnsi="Times New Roman"/>
          <w:sz w:val="14"/>
          <w:szCs w:val="14"/>
          <w:color w:val="auto"/>
        </w:rPr>
        <w:t>Basic</w:t>
      </w:r>
    </w:p>
    <w:p>
      <w:pPr>
        <w:ind w:left="180"/>
        <w:spacing w:after="0" w:line="221" w:lineRule="auto"/>
        <w:rPr>
          <w:sz w:val="20"/>
          <w:szCs w:val="20"/>
          <w:color w:val="auto"/>
        </w:rPr>
      </w:pPr>
      <w:r>
        <w:rPr>
          <w:rFonts w:ascii="Times New Roman" w:cs="Times New Roman" w:eastAsia="Times New Roman" w:hAnsi="Times New Roman"/>
          <w:sz w:val="14"/>
          <w:szCs w:val="14"/>
          <w:color w:val="auto"/>
        </w:rPr>
        <w:t>Diluted</w:t>
      </w:r>
    </w:p>
    <w:p>
      <w:pPr>
        <w:spacing w:after="0" w:line="233" w:lineRule="auto"/>
        <w:rPr>
          <w:sz w:val="20"/>
          <w:szCs w:val="20"/>
          <w:color w:val="auto"/>
        </w:rPr>
      </w:pPr>
      <w:r>
        <w:rPr>
          <w:rFonts w:ascii="Times New Roman" w:cs="Times New Roman" w:eastAsia="Times New Roman" w:hAnsi="Times New Roman"/>
          <w:sz w:val="14"/>
          <w:szCs w:val="14"/>
          <w:b w:val="1"/>
          <w:bCs w:val="1"/>
          <w:color w:val="auto"/>
        </w:rPr>
        <w:t>Non-GAAP net earnings per share</w:t>
      </w:r>
    </w:p>
    <w:p>
      <w:pPr>
        <w:ind w:left="160"/>
        <w:spacing w:after="0" w:line="180" w:lineRule="auto"/>
        <w:rPr>
          <w:sz w:val="20"/>
          <w:szCs w:val="20"/>
          <w:color w:val="auto"/>
        </w:rPr>
      </w:pPr>
      <w:r>
        <w:rPr>
          <w:rFonts w:ascii="Times New Roman" w:cs="Times New Roman" w:eastAsia="Times New Roman" w:hAnsi="Times New Roman"/>
          <w:sz w:val="13"/>
          <w:szCs w:val="13"/>
          <w:b w:val="1"/>
          <w:bCs w:val="1"/>
          <w:color w:val="auto"/>
        </w:rPr>
        <w:t>attributable to ordinary shareholders</w:t>
      </w:r>
      <w:r>
        <w:rPr>
          <w:rFonts w:ascii="Times New Roman" w:cs="Times New Roman" w:eastAsia="Times New Roman" w:hAnsi="Times New Roman"/>
          <w:sz w:val="21"/>
          <w:szCs w:val="21"/>
          <w:b w:val="1"/>
          <w:bCs w:val="1"/>
          <w:color w:val="auto"/>
          <w:vertAlign w:val="superscript"/>
        </w:rPr>
        <w:t>9</w:t>
      </w:r>
    </w:p>
    <w:p>
      <w:pPr>
        <w:ind w:left="180"/>
        <w:spacing w:after="0" w:line="222" w:lineRule="auto"/>
        <w:rPr>
          <w:sz w:val="20"/>
          <w:szCs w:val="20"/>
          <w:color w:val="auto"/>
        </w:rPr>
      </w:pPr>
      <w:r>
        <w:rPr>
          <w:rFonts w:ascii="Times New Roman" w:cs="Times New Roman" w:eastAsia="Times New Roman" w:hAnsi="Times New Roman"/>
          <w:sz w:val="14"/>
          <w:szCs w:val="14"/>
          <w:color w:val="auto"/>
        </w:rPr>
        <w:t>Basic</w:t>
      </w:r>
    </w:p>
    <w:p>
      <w:pPr>
        <w:ind w:left="180"/>
        <w:spacing w:after="0"/>
        <w:rPr>
          <w:sz w:val="20"/>
          <w:szCs w:val="20"/>
          <w:color w:val="auto"/>
        </w:rPr>
      </w:pPr>
      <w:r>
        <w:rPr>
          <w:rFonts w:ascii="Times New Roman" w:cs="Times New Roman" w:eastAsia="Times New Roman" w:hAnsi="Times New Roman"/>
          <w:sz w:val="14"/>
          <w:szCs w:val="14"/>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830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80" w:type="dxa"/>
            <w:vAlign w:val="bottom"/>
            <w:gridSpan w:val="2"/>
          </w:tcPr>
          <w:p>
            <w:pPr>
              <w:jc w:val="center"/>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60" w:type="dxa"/>
            <w:vAlign w:val="bottom"/>
            <w:gridSpan w:val="2"/>
          </w:tcPr>
          <w:p>
            <w:pPr>
              <w:jc w:val="center"/>
              <w:ind w:right="219"/>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20" w:type="dxa"/>
            <w:vAlign w:val="bottom"/>
            <w:gridSpan w:val="2"/>
          </w:tcPr>
          <w:p>
            <w:pPr>
              <w:jc w:val="center"/>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c>
          <w:tcPr>
            <w:tcW w:w="1080" w:type="dxa"/>
            <w:vAlign w:val="bottom"/>
            <w:gridSpan w:val="2"/>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0"/>
                <w:szCs w:val="10"/>
                <w:color w:val="auto"/>
              </w:rPr>
            </w:pPr>
          </w:p>
        </w:tc>
        <w:tc>
          <w:tcPr>
            <w:tcW w:w="1220" w:type="dxa"/>
            <w:vAlign w:val="bottom"/>
            <w:gridSpan w:val="2"/>
          </w:tcPr>
          <w:p>
            <w:pPr>
              <w:jc w:val="center"/>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11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0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10"/>
                <w:szCs w:val="10"/>
                <w:color w:val="auto"/>
              </w:rPr>
            </w:pPr>
          </w:p>
        </w:tc>
        <w:tc>
          <w:tcPr>
            <w:tcW w:w="10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10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10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0"/>
                <w:szCs w:val="10"/>
                <w:color w:val="auto"/>
              </w:rPr>
            </w:pPr>
          </w:p>
        </w:tc>
        <w:tc>
          <w:tcPr>
            <w:tcW w:w="10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10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2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(31,945,214)</w:t>
            </w:r>
          </w:p>
        </w:tc>
        <w:tc>
          <w:tcPr>
            <w:tcW w:w="12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(33,649,545)</w:t>
            </w: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(35,303,454)</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(4,836,553)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(96,354,581)</w:t>
            </w:r>
          </w:p>
        </w:tc>
        <w:tc>
          <w:tcPr>
            <w:tcW w:w="136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color w:val="auto"/>
              </w:rPr>
              <w:t>(114,803,808)</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(15,728,058)</w:t>
            </w:r>
          </w:p>
        </w:tc>
        <w:tc>
          <w:tcPr>
            <w:tcW w:w="0" w:type="dxa"/>
            <w:vAlign w:val="bottom"/>
          </w:tcPr>
          <w:p>
            <w:pPr>
              <w:spacing w:after="0"/>
              <w:rPr>
                <w:sz w:val="1"/>
                <w:szCs w:val="1"/>
                <w:color w:val="auto"/>
              </w:rPr>
            </w:pPr>
          </w:p>
        </w:tc>
      </w:tr>
      <w:tr>
        <w:trPr>
          <w:trHeight w:val="146"/>
        </w:trPr>
        <w:tc>
          <w:tcPr>
            <w:tcW w:w="1280" w:type="dxa"/>
            <w:vAlign w:val="bottom"/>
            <w:gridSpan w:val="2"/>
          </w:tcPr>
          <w:p>
            <w:pPr>
              <w:jc w:val="right"/>
              <w:ind w:right="188"/>
              <w:spacing w:after="0" w:line="147" w:lineRule="exact"/>
              <w:rPr>
                <w:sz w:val="20"/>
                <w:szCs w:val="20"/>
                <w:color w:val="auto"/>
              </w:rPr>
            </w:pPr>
            <w:r>
              <w:rPr>
                <w:rFonts w:ascii="Times New Roman" w:cs="Times New Roman" w:eastAsia="Times New Roman" w:hAnsi="Times New Roman"/>
                <w:sz w:val="14"/>
                <w:szCs w:val="14"/>
                <w:color w:val="auto"/>
              </w:rPr>
              <w:t>15,334</w:t>
            </w:r>
          </w:p>
        </w:tc>
        <w:tc>
          <w:tcPr>
            <w:tcW w:w="1260" w:type="dxa"/>
            <w:vAlign w:val="bottom"/>
            <w:gridSpan w:val="2"/>
          </w:tcPr>
          <w:p>
            <w:pPr>
              <w:jc w:val="right"/>
              <w:ind w:right="199"/>
              <w:spacing w:after="0" w:line="147" w:lineRule="exact"/>
              <w:rPr>
                <w:sz w:val="20"/>
                <w:szCs w:val="20"/>
                <w:color w:val="auto"/>
              </w:rPr>
            </w:pPr>
            <w:r>
              <w:rPr>
                <w:rFonts w:ascii="Times New Roman" w:cs="Times New Roman" w:eastAsia="Times New Roman" w:hAnsi="Times New Roman"/>
                <w:sz w:val="14"/>
                <w:szCs w:val="14"/>
                <w:color w:val="auto"/>
              </w:rPr>
              <w:t>8,213</w:t>
            </w:r>
          </w:p>
        </w:tc>
        <w:tc>
          <w:tcPr>
            <w:tcW w:w="1220" w:type="dxa"/>
            <w:vAlign w:val="bottom"/>
            <w:gridSpan w:val="2"/>
          </w:tcPr>
          <w:p>
            <w:pPr>
              <w:jc w:val="right"/>
              <w:ind w:right="159"/>
              <w:spacing w:after="0" w:line="147" w:lineRule="exact"/>
              <w:rPr>
                <w:sz w:val="20"/>
                <w:szCs w:val="20"/>
                <w:color w:val="auto"/>
              </w:rPr>
            </w:pPr>
            <w:r>
              <w:rPr>
                <w:rFonts w:ascii="Times New Roman" w:cs="Times New Roman" w:eastAsia="Times New Roman" w:hAnsi="Times New Roman"/>
                <w:sz w:val="14"/>
                <w:szCs w:val="14"/>
                <w:color w:val="auto"/>
              </w:rPr>
              <w:t>10,394</w:t>
            </w:r>
          </w:p>
        </w:tc>
        <w:tc>
          <w:tcPr>
            <w:tcW w:w="1220" w:type="dxa"/>
            <w:vAlign w:val="bottom"/>
            <w:gridSpan w:val="2"/>
          </w:tcPr>
          <w:p>
            <w:pPr>
              <w:jc w:val="right"/>
              <w:ind w:right="148"/>
              <w:spacing w:after="0" w:line="147" w:lineRule="exact"/>
              <w:rPr>
                <w:sz w:val="20"/>
                <w:szCs w:val="20"/>
                <w:color w:val="auto"/>
              </w:rPr>
            </w:pPr>
            <w:r>
              <w:rPr>
                <w:rFonts w:ascii="Times New Roman" w:cs="Times New Roman" w:eastAsia="Times New Roman" w:hAnsi="Times New Roman"/>
                <w:sz w:val="14"/>
                <w:szCs w:val="14"/>
                <w:color w:val="auto"/>
              </w:rPr>
              <w:t>1,424</w:t>
            </w:r>
          </w:p>
        </w:tc>
        <w:tc>
          <w:tcPr>
            <w:tcW w:w="1080" w:type="dxa"/>
            <w:vAlign w:val="bottom"/>
            <w:gridSpan w:val="2"/>
          </w:tcPr>
          <w:p>
            <w:pPr>
              <w:jc w:val="right"/>
              <w:ind w:right="8"/>
              <w:spacing w:after="0" w:line="147" w:lineRule="exact"/>
              <w:rPr>
                <w:sz w:val="20"/>
                <w:szCs w:val="20"/>
                <w:color w:val="auto"/>
              </w:rPr>
            </w:pPr>
            <w:r>
              <w:rPr>
                <w:rFonts w:ascii="Times New Roman" w:cs="Times New Roman" w:eastAsia="Times New Roman" w:hAnsi="Times New Roman"/>
                <w:sz w:val="14"/>
                <w:szCs w:val="14"/>
                <w:color w:val="auto"/>
              </w:rPr>
              <w:t>46,631</w:t>
            </w:r>
          </w:p>
        </w:tc>
        <w:tc>
          <w:tcPr>
            <w:tcW w:w="1360" w:type="dxa"/>
            <w:vAlign w:val="bottom"/>
            <w:gridSpan w:val="3"/>
          </w:tcPr>
          <w:p>
            <w:pPr>
              <w:jc w:val="right"/>
              <w:ind w:right="179"/>
              <w:spacing w:after="0" w:line="147" w:lineRule="exact"/>
              <w:rPr>
                <w:sz w:val="20"/>
                <w:szCs w:val="20"/>
                <w:color w:val="auto"/>
              </w:rPr>
            </w:pPr>
            <w:r>
              <w:rPr>
                <w:rFonts w:ascii="Times New Roman" w:cs="Times New Roman" w:eastAsia="Times New Roman" w:hAnsi="Times New Roman"/>
                <w:sz w:val="14"/>
                <w:szCs w:val="14"/>
                <w:color w:val="auto"/>
              </w:rPr>
              <w:t>39,728</w:t>
            </w:r>
          </w:p>
        </w:tc>
        <w:tc>
          <w:tcPr>
            <w:tcW w:w="1040" w:type="dxa"/>
            <w:vAlign w:val="bottom"/>
            <w:gridSpan w:val="3"/>
          </w:tcPr>
          <w:p>
            <w:pPr>
              <w:jc w:val="right"/>
              <w:ind w:right="35"/>
              <w:spacing w:after="0" w:line="147" w:lineRule="exact"/>
              <w:rPr>
                <w:sz w:val="20"/>
                <w:szCs w:val="20"/>
                <w:color w:val="auto"/>
              </w:rPr>
            </w:pPr>
            <w:r>
              <w:rPr>
                <w:rFonts w:ascii="Times New Roman" w:cs="Times New Roman" w:eastAsia="Times New Roman" w:hAnsi="Times New Roman"/>
                <w:sz w:val="14"/>
                <w:szCs w:val="14"/>
                <w:color w:val="auto"/>
              </w:rPr>
              <w:t>5,443</w:t>
            </w:r>
          </w:p>
        </w:tc>
        <w:tc>
          <w:tcPr>
            <w:tcW w:w="0" w:type="dxa"/>
            <w:vAlign w:val="bottom"/>
          </w:tcPr>
          <w:p>
            <w:pPr>
              <w:spacing w:after="0"/>
              <w:rPr>
                <w:sz w:val="1"/>
                <w:szCs w:val="1"/>
                <w:color w:val="auto"/>
              </w:rPr>
            </w:pPr>
          </w:p>
        </w:tc>
      </w:tr>
      <w:tr>
        <w:trPr>
          <w:trHeight w:val="25"/>
        </w:trPr>
        <w:tc>
          <w:tcPr>
            <w:tcW w:w="1020" w:type="dxa"/>
            <w:vAlign w:val="bottom"/>
            <w:tcBorders>
              <w:bottom w:val="single" w:sz="8" w:color="auto"/>
            </w:tcBorders>
          </w:tcPr>
          <w:p>
            <w:pPr>
              <w:spacing w:after="0"/>
              <w:rPr>
                <w:sz w:val="2"/>
                <w:szCs w:val="2"/>
                <w:color w:val="auto"/>
              </w:rPr>
            </w:pPr>
          </w:p>
        </w:tc>
        <w:tc>
          <w:tcPr>
            <w:tcW w:w="2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bottom w:val="single" w:sz="8" w:color="auto"/>
            </w:tcBorders>
          </w:tcPr>
          <w:p>
            <w:pPr>
              <w:spacing w:after="0"/>
              <w:rPr>
                <w:sz w:val="2"/>
                <w:szCs w:val="2"/>
                <w:color w:val="auto"/>
              </w:rPr>
            </w:pPr>
          </w:p>
        </w:tc>
        <w:tc>
          <w:tcPr>
            <w:tcW w:w="240" w:type="dxa"/>
            <w:vAlign w:val="bottom"/>
            <w:vMerge w:val="restart"/>
          </w:tcPr>
          <w:p>
            <w:pPr>
              <w:jc w:val="right"/>
              <w:ind w:right="1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20" w:type="dxa"/>
            <w:vAlign w:val="bottom"/>
            <w:tcBorders>
              <w:bottom w:val="single" w:sz="8" w:color="auto"/>
            </w:tcBorders>
          </w:tcPr>
          <w:p>
            <w:pPr>
              <w:spacing w:after="0"/>
              <w:rPr>
                <w:sz w:val="2"/>
                <w:szCs w:val="2"/>
                <w:color w:val="auto"/>
              </w:rPr>
            </w:pPr>
          </w:p>
        </w:tc>
        <w:tc>
          <w:tcPr>
            <w:tcW w:w="200" w:type="dxa"/>
            <w:vAlign w:val="bottom"/>
            <w:vMerge w:val="restart"/>
          </w:tcPr>
          <w:p>
            <w:pPr>
              <w:jc w:val="right"/>
              <w:ind w:right="1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0" w:type="dxa"/>
            <w:vAlign w:val="bottom"/>
            <w:tcBorders>
              <w:bottom w:val="single" w:sz="8" w:color="auto"/>
            </w:tcBorders>
          </w:tcPr>
          <w:p>
            <w:pPr>
              <w:spacing w:after="0"/>
              <w:rPr>
                <w:sz w:val="2"/>
                <w:szCs w:val="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0" w:type="dxa"/>
            <w:vAlign w:val="bottom"/>
            <w:tcBorders>
              <w:bottom w:val="single" w:sz="8" w:color="auto"/>
            </w:tcBorders>
          </w:tcPr>
          <w:p>
            <w:pPr>
              <w:spacing w:after="0"/>
              <w:rPr>
                <w:sz w:val="2"/>
                <w:szCs w:val="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vMerge w:val="restart"/>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vMerge w:val="restart"/>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20" w:type="dxa"/>
            <w:vAlign w:val="bottom"/>
            <w:tcBorders>
              <w:bottom w:val="single" w:sz="8" w:color="auto"/>
            </w:tcBorders>
            <w:gridSpan w:val="2"/>
          </w:tcPr>
          <w:p>
            <w:pPr>
              <w:spacing w:after="0"/>
              <w:rPr>
                <w:sz w:val="2"/>
                <w:szCs w:val="2"/>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56"/>
        </w:trPr>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(31,929,880</w:t>
            </w:r>
          </w:p>
        </w:tc>
        <w:tc>
          <w:tcPr>
            <w:tcW w:w="260" w:type="dxa"/>
            <w:vAlign w:val="bottom"/>
            <w:vMerge w:val="continue"/>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(33,641,332</w:t>
            </w:r>
          </w:p>
        </w:tc>
        <w:tc>
          <w:tcPr>
            <w:tcW w:w="240" w:type="dxa"/>
            <w:vAlign w:val="bottom"/>
            <w:vMerge w:val="continue"/>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(35,293,060</w:t>
            </w:r>
          </w:p>
        </w:tc>
        <w:tc>
          <w:tcPr>
            <w:tcW w:w="200" w:type="dxa"/>
            <w:vAlign w:val="bottom"/>
            <w:vMerge w:val="continue"/>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(4,835,129</w:t>
            </w:r>
          </w:p>
        </w:tc>
        <w:tc>
          <w:tcPr>
            <w:tcW w:w="220" w:type="dxa"/>
            <w:vAlign w:val="bottom"/>
            <w:vMerge w:val="continue"/>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(96,307,950</w:t>
            </w:r>
          </w:p>
        </w:tc>
        <w:tc>
          <w:tcPr>
            <w:tcW w:w="8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(114,764,080</w:t>
            </w:r>
          </w:p>
        </w:tc>
        <w:tc>
          <w:tcPr>
            <w:tcW w:w="220" w:type="dxa"/>
            <w:vAlign w:val="bottom"/>
            <w:vMerge w:val="continue"/>
          </w:tcPr>
          <w:p>
            <w:pPr>
              <w:spacing w:after="0"/>
              <w:rPr>
                <w:sz w:val="13"/>
                <w:szCs w:val="13"/>
                <w:color w:val="auto"/>
              </w:rPr>
            </w:pPr>
          </w:p>
        </w:tc>
        <w:tc>
          <w:tcPr>
            <w:tcW w:w="102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(15,722,615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2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(3,491,026)</w:t>
            </w:r>
          </w:p>
        </w:tc>
        <w:tc>
          <w:tcPr>
            <w:tcW w:w="12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(2,586,534)</w:t>
            </w: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(2,408,357)</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(329,944)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(10,586,129)</w:t>
            </w:r>
          </w:p>
        </w:tc>
        <w:tc>
          <w:tcPr>
            <w:tcW w:w="136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color w:val="auto"/>
              </w:rPr>
              <w:t>(11,071,358)</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(1,516,770)</w:t>
            </w:r>
          </w:p>
        </w:tc>
        <w:tc>
          <w:tcPr>
            <w:tcW w:w="0" w:type="dxa"/>
            <w:vAlign w:val="bottom"/>
          </w:tcPr>
          <w:p>
            <w:pPr>
              <w:spacing w:after="0"/>
              <w:rPr>
                <w:sz w:val="1"/>
                <w:szCs w:val="1"/>
                <w:color w:val="auto"/>
              </w:rPr>
            </w:pPr>
          </w:p>
        </w:tc>
      </w:tr>
      <w:tr>
        <w:trPr>
          <w:trHeight w:val="171"/>
        </w:trPr>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537,843</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296,778</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303,047</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41,517</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1,552,421</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1,257,921</w:t>
            </w:r>
          </w:p>
        </w:tc>
        <w:tc>
          <w:tcPr>
            <w:tcW w:w="104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172,334</w:t>
            </w: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gridSpan w:val="2"/>
          </w:tcPr>
          <w:p>
            <w:pPr>
              <w:jc w:val="right"/>
              <w:ind w:right="128"/>
              <w:spacing w:after="0" w:line="304" w:lineRule="exact"/>
              <w:rPr>
                <w:sz w:val="20"/>
                <w:szCs w:val="20"/>
                <w:color w:val="auto"/>
              </w:rPr>
            </w:pPr>
            <w:r>
              <w:rPr>
                <w:rFonts w:ascii="Times New Roman" w:cs="Times New Roman" w:eastAsia="Times New Roman" w:hAnsi="Times New Roman"/>
                <w:sz w:val="14"/>
                <w:szCs w:val="14"/>
                <w:b w:val="1"/>
                <w:bCs w:val="1"/>
                <w:color w:val="auto"/>
              </w:rPr>
              <w:t>(2,953,183</w:t>
            </w:r>
            <w:r>
              <w:rPr>
                <w:rFonts w:ascii="Times New Roman" w:cs="Times New Roman" w:eastAsia="Times New Roman" w:hAnsi="Times New Roman"/>
                <w:sz w:val="28"/>
                <w:szCs w:val="28"/>
                <w:b w:val="1"/>
                <w:bCs w:val="1"/>
                <w:color w:val="auto"/>
                <w:vertAlign w:val="superscript"/>
              </w:rPr>
              <w:t>)</w:t>
            </w:r>
          </w:p>
        </w:tc>
        <w:tc>
          <w:tcPr>
            <w:tcW w:w="1260" w:type="dxa"/>
            <w:vAlign w:val="bottom"/>
            <w:gridSpan w:val="2"/>
          </w:tcPr>
          <w:p>
            <w:pPr>
              <w:jc w:val="right"/>
              <w:ind w:right="159"/>
              <w:spacing w:after="0" w:line="304" w:lineRule="exact"/>
              <w:rPr>
                <w:sz w:val="20"/>
                <w:szCs w:val="20"/>
                <w:color w:val="auto"/>
              </w:rPr>
            </w:pPr>
            <w:r>
              <w:rPr>
                <w:rFonts w:ascii="Times New Roman" w:cs="Times New Roman" w:eastAsia="Times New Roman" w:hAnsi="Times New Roman"/>
                <w:sz w:val="14"/>
                <w:szCs w:val="14"/>
                <w:b w:val="1"/>
                <w:bCs w:val="1"/>
                <w:color w:val="auto"/>
              </w:rPr>
              <w:t>(2,289,756</w:t>
            </w:r>
            <w:r>
              <w:rPr>
                <w:rFonts w:ascii="Times New Roman" w:cs="Times New Roman" w:eastAsia="Times New Roman" w:hAnsi="Times New Roman"/>
                <w:sz w:val="28"/>
                <w:szCs w:val="28"/>
                <w:b w:val="1"/>
                <w:bCs w:val="1"/>
                <w:color w:val="auto"/>
                <w:vertAlign w:val="superscript"/>
              </w:rPr>
              <w:t>)</w:t>
            </w:r>
          </w:p>
        </w:tc>
        <w:tc>
          <w:tcPr>
            <w:tcW w:w="1220" w:type="dxa"/>
            <w:vAlign w:val="bottom"/>
            <w:gridSpan w:val="2"/>
          </w:tcPr>
          <w:p>
            <w:pPr>
              <w:jc w:val="right"/>
              <w:ind w:right="119"/>
              <w:spacing w:after="0" w:line="304" w:lineRule="exact"/>
              <w:rPr>
                <w:sz w:val="20"/>
                <w:szCs w:val="20"/>
                <w:color w:val="auto"/>
              </w:rPr>
            </w:pPr>
            <w:r>
              <w:rPr>
                <w:rFonts w:ascii="Times New Roman" w:cs="Times New Roman" w:eastAsia="Times New Roman" w:hAnsi="Times New Roman"/>
                <w:sz w:val="14"/>
                <w:szCs w:val="14"/>
                <w:b w:val="1"/>
                <w:bCs w:val="1"/>
                <w:color w:val="auto"/>
              </w:rPr>
              <w:t>(2,105,310</w:t>
            </w:r>
            <w:r>
              <w:rPr>
                <w:rFonts w:ascii="Times New Roman" w:cs="Times New Roman" w:eastAsia="Times New Roman" w:hAnsi="Times New Roman"/>
                <w:sz w:val="28"/>
                <w:szCs w:val="28"/>
                <w:b w:val="1"/>
                <w:bCs w:val="1"/>
                <w:color w:val="auto"/>
                <w:vertAlign w:val="superscript"/>
              </w:rPr>
              <w:t>)</w:t>
            </w:r>
          </w:p>
        </w:tc>
        <w:tc>
          <w:tcPr>
            <w:tcW w:w="1220" w:type="dxa"/>
            <w:vAlign w:val="bottom"/>
            <w:gridSpan w:val="2"/>
          </w:tcPr>
          <w:p>
            <w:pPr>
              <w:jc w:val="right"/>
              <w:ind w:right="88"/>
              <w:spacing w:after="0" w:line="304" w:lineRule="exact"/>
              <w:rPr>
                <w:sz w:val="20"/>
                <w:szCs w:val="20"/>
                <w:color w:val="auto"/>
              </w:rPr>
            </w:pPr>
            <w:r>
              <w:rPr>
                <w:rFonts w:ascii="Times New Roman" w:cs="Times New Roman" w:eastAsia="Times New Roman" w:hAnsi="Times New Roman"/>
                <w:sz w:val="14"/>
                <w:szCs w:val="14"/>
                <w:b w:val="1"/>
                <w:bCs w:val="1"/>
                <w:color w:val="auto"/>
              </w:rPr>
              <w:t>(288,427</w:t>
            </w:r>
            <w:r>
              <w:rPr>
                <w:rFonts w:ascii="Times New Roman" w:cs="Times New Roman" w:eastAsia="Times New Roman" w:hAnsi="Times New Roman"/>
                <w:sz w:val="28"/>
                <w:szCs w:val="28"/>
                <w:b w:val="1"/>
                <w:bCs w:val="1"/>
                <w:color w:val="auto"/>
                <w:vertAlign w:val="superscript"/>
              </w:rPr>
              <w:t>)</w:t>
            </w:r>
          </w:p>
        </w:tc>
        <w:tc>
          <w:tcPr>
            <w:tcW w:w="1080" w:type="dxa"/>
            <w:vAlign w:val="bottom"/>
            <w:gridSpan w:val="2"/>
          </w:tcPr>
          <w:p>
            <w:pPr>
              <w:jc w:val="right"/>
              <w:spacing w:after="0" w:line="304" w:lineRule="exact"/>
              <w:rPr>
                <w:sz w:val="20"/>
                <w:szCs w:val="20"/>
                <w:color w:val="auto"/>
              </w:rPr>
            </w:pPr>
            <w:r>
              <w:rPr>
                <w:rFonts w:ascii="Times New Roman" w:cs="Times New Roman" w:eastAsia="Times New Roman" w:hAnsi="Times New Roman"/>
                <w:sz w:val="14"/>
                <w:szCs w:val="14"/>
                <w:b w:val="1"/>
                <w:bCs w:val="1"/>
                <w:color w:val="auto"/>
              </w:rPr>
              <w:t>(9,033,708</w:t>
            </w:r>
            <w:r>
              <w:rPr>
                <w:rFonts w:ascii="Times New Roman" w:cs="Times New Roman" w:eastAsia="Times New Roman" w:hAnsi="Times New Roman"/>
                <w:sz w:val="28"/>
                <w:szCs w:val="28"/>
                <w:b w:val="1"/>
                <w:bCs w:val="1"/>
                <w:color w:val="auto"/>
                <w:vertAlign w:val="superscript"/>
              </w:rPr>
              <w:t>)</w:t>
            </w:r>
          </w:p>
        </w:tc>
        <w:tc>
          <w:tcPr>
            <w:tcW w:w="1360" w:type="dxa"/>
            <w:vAlign w:val="bottom"/>
            <w:gridSpan w:val="3"/>
          </w:tcPr>
          <w:p>
            <w:pPr>
              <w:jc w:val="right"/>
              <w:ind w:right="139"/>
              <w:spacing w:after="0" w:line="304" w:lineRule="exact"/>
              <w:rPr>
                <w:sz w:val="20"/>
                <w:szCs w:val="20"/>
                <w:color w:val="auto"/>
              </w:rPr>
            </w:pPr>
            <w:r>
              <w:rPr>
                <w:rFonts w:ascii="Times New Roman" w:cs="Times New Roman" w:eastAsia="Times New Roman" w:hAnsi="Times New Roman"/>
                <w:sz w:val="14"/>
                <w:szCs w:val="14"/>
                <w:b w:val="1"/>
                <w:bCs w:val="1"/>
                <w:color w:val="auto"/>
              </w:rPr>
              <w:t>(9,813,437</w:t>
            </w:r>
            <w:r>
              <w:rPr>
                <w:rFonts w:ascii="Times New Roman" w:cs="Times New Roman" w:eastAsia="Times New Roman" w:hAnsi="Times New Roman"/>
                <w:sz w:val="28"/>
                <w:szCs w:val="28"/>
                <w:b w:val="1"/>
                <w:bCs w:val="1"/>
                <w:color w:val="auto"/>
                <w:vertAlign w:val="superscript"/>
              </w:rPr>
              <w:t>)</w:t>
            </w:r>
          </w:p>
        </w:tc>
        <w:tc>
          <w:tcPr>
            <w:tcW w:w="1040" w:type="dxa"/>
            <w:vAlign w:val="bottom"/>
            <w:gridSpan w:val="3"/>
          </w:tcPr>
          <w:p>
            <w:pPr>
              <w:jc w:val="right"/>
              <w:spacing w:after="0" w:line="304" w:lineRule="exact"/>
              <w:rPr>
                <w:sz w:val="20"/>
                <w:szCs w:val="20"/>
                <w:color w:val="auto"/>
              </w:rPr>
            </w:pPr>
            <w:r>
              <w:rPr>
                <w:rFonts w:ascii="Times New Roman" w:cs="Times New Roman" w:eastAsia="Times New Roman" w:hAnsi="Times New Roman"/>
                <w:sz w:val="14"/>
                <w:szCs w:val="14"/>
                <w:b w:val="1"/>
                <w:bCs w:val="1"/>
                <w:color w:val="auto"/>
              </w:rPr>
              <w:t>(1,344,436</w:t>
            </w:r>
            <w:r>
              <w:rPr>
                <w:rFonts w:ascii="Times New Roman" w:cs="Times New Roman" w:eastAsia="Times New Roman" w:hAnsi="Times New Roman"/>
                <w:sz w:val="28"/>
                <w:szCs w:val="28"/>
                <w:b w:val="1"/>
                <w:bCs w:val="1"/>
                <w:color w:val="auto"/>
                <w:vertAlign w:val="superscript"/>
              </w:rPr>
              <w:t>)</w:t>
            </w:r>
          </w:p>
        </w:tc>
        <w:tc>
          <w:tcPr>
            <w:tcW w:w="0" w:type="dxa"/>
            <w:vAlign w:val="bottom"/>
          </w:tcPr>
          <w:p>
            <w:pPr>
              <w:spacing w:after="0"/>
              <w:rPr>
                <w:sz w:val="1"/>
                <w:szCs w:val="1"/>
                <w:color w:val="auto"/>
              </w:rPr>
            </w:pP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2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(3,269,668)</w:t>
            </w:r>
          </w:p>
        </w:tc>
        <w:tc>
          <w:tcPr>
            <w:tcW w:w="12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(3,359,640)</w:t>
            </w: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(3,076,993)</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(421,546)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(9,767,955)</w:t>
            </w:r>
          </w:p>
        </w:tc>
        <w:tc>
          <w:tcPr>
            <w:tcW w:w="136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color w:val="auto"/>
              </w:rPr>
              <w:t>(12,229,323)</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(1,675,410)</w:t>
            </w:r>
          </w:p>
        </w:tc>
        <w:tc>
          <w:tcPr>
            <w:tcW w:w="0" w:type="dxa"/>
            <w:vAlign w:val="bottom"/>
          </w:tcPr>
          <w:p>
            <w:pPr>
              <w:spacing w:after="0"/>
              <w:rPr>
                <w:sz w:val="1"/>
                <w:szCs w:val="1"/>
                <w:color w:val="auto"/>
              </w:rPr>
            </w:pPr>
          </w:p>
        </w:tc>
      </w:tr>
      <w:tr>
        <w:trPr>
          <w:trHeight w:val="171"/>
        </w:trPr>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273,443</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725,500</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199,633</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27,350</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779,637</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1,333,256</w:t>
            </w:r>
          </w:p>
        </w:tc>
        <w:tc>
          <w:tcPr>
            <w:tcW w:w="104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182,655</w:t>
            </w: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gridSpan w:val="2"/>
          </w:tcPr>
          <w:p>
            <w:pPr>
              <w:jc w:val="right"/>
              <w:ind w:right="128"/>
              <w:spacing w:after="0" w:line="304" w:lineRule="exact"/>
              <w:rPr>
                <w:sz w:val="20"/>
                <w:szCs w:val="20"/>
                <w:color w:val="auto"/>
              </w:rPr>
            </w:pPr>
            <w:r>
              <w:rPr>
                <w:rFonts w:ascii="Times New Roman" w:cs="Times New Roman" w:eastAsia="Times New Roman" w:hAnsi="Times New Roman"/>
                <w:sz w:val="14"/>
                <w:szCs w:val="14"/>
                <w:b w:val="1"/>
                <w:bCs w:val="1"/>
                <w:color w:val="auto"/>
              </w:rPr>
              <w:t>(2,996,225</w:t>
            </w:r>
            <w:r>
              <w:rPr>
                <w:rFonts w:ascii="Times New Roman" w:cs="Times New Roman" w:eastAsia="Times New Roman" w:hAnsi="Times New Roman"/>
                <w:sz w:val="28"/>
                <w:szCs w:val="28"/>
                <w:b w:val="1"/>
                <w:bCs w:val="1"/>
                <w:color w:val="auto"/>
                <w:vertAlign w:val="superscript"/>
              </w:rPr>
              <w:t>)</w:t>
            </w:r>
          </w:p>
        </w:tc>
        <w:tc>
          <w:tcPr>
            <w:tcW w:w="1260" w:type="dxa"/>
            <w:vAlign w:val="bottom"/>
            <w:gridSpan w:val="2"/>
          </w:tcPr>
          <w:p>
            <w:pPr>
              <w:jc w:val="right"/>
              <w:ind w:right="159"/>
              <w:spacing w:after="0" w:line="304" w:lineRule="exact"/>
              <w:rPr>
                <w:sz w:val="20"/>
                <w:szCs w:val="20"/>
                <w:color w:val="auto"/>
              </w:rPr>
            </w:pPr>
            <w:r>
              <w:rPr>
                <w:rFonts w:ascii="Times New Roman" w:cs="Times New Roman" w:eastAsia="Times New Roman" w:hAnsi="Times New Roman"/>
                <w:sz w:val="14"/>
                <w:szCs w:val="14"/>
                <w:b w:val="1"/>
                <w:bCs w:val="1"/>
                <w:color w:val="auto"/>
              </w:rPr>
              <w:t>(2,634,140</w:t>
            </w:r>
            <w:r>
              <w:rPr>
                <w:rFonts w:ascii="Times New Roman" w:cs="Times New Roman" w:eastAsia="Times New Roman" w:hAnsi="Times New Roman"/>
                <w:sz w:val="28"/>
                <w:szCs w:val="28"/>
                <w:b w:val="1"/>
                <w:bCs w:val="1"/>
                <w:color w:val="auto"/>
                <w:vertAlign w:val="superscript"/>
              </w:rPr>
              <w:t>)</w:t>
            </w:r>
          </w:p>
        </w:tc>
        <w:tc>
          <w:tcPr>
            <w:tcW w:w="1220" w:type="dxa"/>
            <w:vAlign w:val="bottom"/>
            <w:gridSpan w:val="2"/>
          </w:tcPr>
          <w:p>
            <w:pPr>
              <w:jc w:val="right"/>
              <w:ind w:right="119"/>
              <w:spacing w:after="0" w:line="304" w:lineRule="exact"/>
              <w:rPr>
                <w:sz w:val="20"/>
                <w:szCs w:val="20"/>
                <w:color w:val="auto"/>
              </w:rPr>
            </w:pPr>
            <w:r>
              <w:rPr>
                <w:rFonts w:ascii="Times New Roman" w:cs="Times New Roman" w:eastAsia="Times New Roman" w:hAnsi="Times New Roman"/>
                <w:sz w:val="14"/>
                <w:szCs w:val="14"/>
                <w:b w:val="1"/>
                <w:bCs w:val="1"/>
                <w:color w:val="auto"/>
              </w:rPr>
              <w:t>(2,877,360</w:t>
            </w:r>
            <w:r>
              <w:rPr>
                <w:rFonts w:ascii="Times New Roman" w:cs="Times New Roman" w:eastAsia="Times New Roman" w:hAnsi="Times New Roman"/>
                <w:sz w:val="28"/>
                <w:szCs w:val="28"/>
                <w:b w:val="1"/>
                <w:bCs w:val="1"/>
                <w:color w:val="auto"/>
                <w:vertAlign w:val="superscript"/>
              </w:rPr>
              <w:t>)</w:t>
            </w:r>
          </w:p>
        </w:tc>
        <w:tc>
          <w:tcPr>
            <w:tcW w:w="1220" w:type="dxa"/>
            <w:vAlign w:val="bottom"/>
            <w:gridSpan w:val="2"/>
          </w:tcPr>
          <w:p>
            <w:pPr>
              <w:jc w:val="right"/>
              <w:ind w:right="88"/>
              <w:spacing w:after="0" w:line="304" w:lineRule="exact"/>
              <w:rPr>
                <w:sz w:val="20"/>
                <w:szCs w:val="20"/>
                <w:color w:val="auto"/>
              </w:rPr>
            </w:pPr>
            <w:r>
              <w:rPr>
                <w:rFonts w:ascii="Times New Roman" w:cs="Times New Roman" w:eastAsia="Times New Roman" w:hAnsi="Times New Roman"/>
                <w:sz w:val="14"/>
                <w:szCs w:val="14"/>
                <w:b w:val="1"/>
                <w:bCs w:val="1"/>
                <w:color w:val="auto"/>
              </w:rPr>
              <w:t>(394,196</w:t>
            </w:r>
            <w:r>
              <w:rPr>
                <w:rFonts w:ascii="Times New Roman" w:cs="Times New Roman" w:eastAsia="Times New Roman" w:hAnsi="Times New Roman"/>
                <w:sz w:val="28"/>
                <w:szCs w:val="28"/>
                <w:b w:val="1"/>
                <w:bCs w:val="1"/>
                <w:color w:val="auto"/>
                <w:vertAlign w:val="superscript"/>
              </w:rPr>
              <w:t>)</w:t>
            </w:r>
          </w:p>
        </w:tc>
        <w:tc>
          <w:tcPr>
            <w:tcW w:w="1080" w:type="dxa"/>
            <w:vAlign w:val="bottom"/>
            <w:gridSpan w:val="2"/>
          </w:tcPr>
          <w:p>
            <w:pPr>
              <w:jc w:val="right"/>
              <w:spacing w:after="0" w:line="304" w:lineRule="exact"/>
              <w:rPr>
                <w:sz w:val="20"/>
                <w:szCs w:val="20"/>
                <w:color w:val="auto"/>
              </w:rPr>
            </w:pPr>
            <w:r>
              <w:rPr>
                <w:rFonts w:ascii="Times New Roman" w:cs="Times New Roman" w:eastAsia="Times New Roman" w:hAnsi="Times New Roman"/>
                <w:sz w:val="14"/>
                <w:szCs w:val="14"/>
                <w:b w:val="1"/>
                <w:bCs w:val="1"/>
                <w:color w:val="auto"/>
              </w:rPr>
              <w:t>(8,988,318</w:t>
            </w:r>
            <w:r>
              <w:rPr>
                <w:rFonts w:ascii="Times New Roman" w:cs="Times New Roman" w:eastAsia="Times New Roman" w:hAnsi="Times New Roman"/>
                <w:sz w:val="28"/>
                <w:szCs w:val="28"/>
                <w:b w:val="1"/>
                <w:bCs w:val="1"/>
                <w:color w:val="auto"/>
                <w:vertAlign w:val="superscript"/>
              </w:rPr>
              <w:t>)</w:t>
            </w:r>
          </w:p>
        </w:tc>
        <w:tc>
          <w:tcPr>
            <w:tcW w:w="1360" w:type="dxa"/>
            <w:vAlign w:val="bottom"/>
            <w:gridSpan w:val="3"/>
          </w:tcPr>
          <w:p>
            <w:pPr>
              <w:jc w:val="right"/>
              <w:ind w:right="139"/>
              <w:spacing w:after="0" w:line="304" w:lineRule="exact"/>
              <w:rPr>
                <w:sz w:val="20"/>
                <w:szCs w:val="20"/>
                <w:color w:val="auto"/>
              </w:rPr>
            </w:pPr>
            <w:r>
              <w:rPr>
                <w:rFonts w:ascii="Times New Roman" w:cs="Times New Roman" w:eastAsia="Times New Roman" w:hAnsi="Times New Roman"/>
                <w:sz w:val="14"/>
                <w:szCs w:val="14"/>
                <w:b w:val="1"/>
                <w:bCs w:val="1"/>
                <w:color w:val="auto"/>
              </w:rPr>
              <w:t>(10,896,067</w:t>
            </w:r>
            <w:r>
              <w:rPr>
                <w:rFonts w:ascii="Times New Roman" w:cs="Times New Roman" w:eastAsia="Times New Roman" w:hAnsi="Times New Roman"/>
                <w:sz w:val="28"/>
                <w:szCs w:val="28"/>
                <w:b w:val="1"/>
                <w:bCs w:val="1"/>
                <w:color w:val="auto"/>
                <w:vertAlign w:val="superscript"/>
              </w:rPr>
              <w:t>)</w:t>
            </w:r>
          </w:p>
        </w:tc>
        <w:tc>
          <w:tcPr>
            <w:tcW w:w="1040" w:type="dxa"/>
            <w:vAlign w:val="bottom"/>
            <w:gridSpan w:val="3"/>
          </w:tcPr>
          <w:p>
            <w:pPr>
              <w:jc w:val="right"/>
              <w:spacing w:after="0" w:line="304" w:lineRule="exact"/>
              <w:rPr>
                <w:sz w:val="20"/>
                <w:szCs w:val="20"/>
                <w:color w:val="auto"/>
              </w:rPr>
            </w:pPr>
            <w:r>
              <w:rPr>
                <w:rFonts w:ascii="Times New Roman" w:cs="Times New Roman" w:eastAsia="Times New Roman" w:hAnsi="Times New Roman"/>
                <w:sz w:val="14"/>
                <w:szCs w:val="14"/>
                <w:b w:val="1"/>
                <w:bCs w:val="1"/>
                <w:color w:val="auto"/>
              </w:rPr>
              <w:t>(1,492,755</w:t>
            </w:r>
            <w:r>
              <w:rPr>
                <w:rFonts w:ascii="Times New Roman" w:cs="Times New Roman" w:eastAsia="Times New Roman" w:hAnsi="Times New Roman"/>
                <w:sz w:val="28"/>
                <w:szCs w:val="28"/>
                <w:b w:val="1"/>
                <w:bCs w:val="1"/>
                <w:color w:val="auto"/>
                <w:vertAlign w:val="superscript"/>
              </w:rPr>
              <w:t>)</w:t>
            </w:r>
          </w:p>
        </w:tc>
        <w:tc>
          <w:tcPr>
            <w:tcW w:w="0" w:type="dxa"/>
            <w:vAlign w:val="bottom"/>
          </w:tcPr>
          <w:p>
            <w:pPr>
              <w:spacing w:after="0"/>
              <w:rPr>
                <w:sz w:val="1"/>
                <w:szCs w:val="1"/>
                <w:color w:val="auto"/>
              </w:rPr>
            </w:pP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3,036,426</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3,432,673</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3,703,314</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507,352</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7,406,877</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7,019,114</w:t>
            </w:r>
          </w:p>
        </w:tc>
        <w:tc>
          <w:tcPr>
            <w:tcW w:w="104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961,615</w:t>
            </w:r>
          </w:p>
        </w:tc>
        <w:tc>
          <w:tcPr>
            <w:tcW w:w="0" w:type="dxa"/>
            <w:vAlign w:val="bottom"/>
          </w:tcPr>
          <w:p>
            <w:pPr>
              <w:spacing w:after="0"/>
              <w:rPr>
                <w:sz w:val="1"/>
                <w:szCs w:val="1"/>
                <w:color w:val="auto"/>
              </w:rPr>
            </w:pPr>
          </w:p>
        </w:tc>
      </w:tr>
      <w:tr>
        <w:trPr>
          <w:trHeight w:val="171"/>
        </w:trPr>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826,620</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1,030,491</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513,074</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70,291</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2,378,689</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2,630,905</w:t>
            </w:r>
          </w:p>
        </w:tc>
        <w:tc>
          <w:tcPr>
            <w:tcW w:w="104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360,432</w:t>
            </w:r>
          </w:p>
        </w:tc>
        <w:tc>
          <w:tcPr>
            <w:tcW w:w="0" w:type="dxa"/>
            <w:vAlign w:val="bottom"/>
          </w:tcPr>
          <w:p>
            <w:pPr>
              <w:spacing w:after="0"/>
              <w:rPr>
                <w:sz w:val="1"/>
                <w:szCs w:val="1"/>
                <w:color w:val="auto"/>
              </w:rPr>
            </w:pPr>
          </w:p>
        </w:tc>
      </w:tr>
      <w:tr>
        <w:trPr>
          <w:trHeight w:val="156"/>
        </w:trPr>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3,863,046</w:t>
            </w:r>
          </w:p>
        </w:tc>
        <w:tc>
          <w:tcPr>
            <w:tcW w:w="26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4,463,164</w:t>
            </w:r>
          </w:p>
        </w:tc>
        <w:tc>
          <w:tcPr>
            <w:tcW w:w="24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4,216,388</w:t>
            </w:r>
          </w:p>
        </w:tc>
        <w:tc>
          <w:tcPr>
            <w:tcW w:w="2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577,643</w:t>
            </w:r>
          </w:p>
        </w:tc>
        <w:tc>
          <w:tcPr>
            <w:tcW w:w="2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9,785,566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9,650,019</w:t>
            </w:r>
          </w:p>
        </w:tc>
        <w:tc>
          <w:tcPr>
            <w:tcW w:w="220" w:type="dxa"/>
            <w:vAlign w:val="bottom"/>
          </w:tcPr>
          <w:p>
            <w:pPr>
              <w:spacing w:after="0"/>
              <w:rPr>
                <w:sz w:val="13"/>
                <w:szCs w:val="13"/>
                <w:color w:val="auto"/>
              </w:rPr>
            </w:pPr>
          </w:p>
        </w:tc>
        <w:tc>
          <w:tcPr>
            <w:tcW w:w="102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1,322,047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5,752,316</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2,820,490</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3,532,694</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483,978</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11,809,125</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8,045,250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1,102,195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826,620</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1,030,491</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513,074</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70,291</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2,378,689</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2,630,905</w:t>
            </w:r>
          </w:p>
        </w:tc>
        <w:tc>
          <w:tcPr>
            <w:tcW w:w="104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360,432</w:t>
            </w:r>
          </w:p>
        </w:tc>
        <w:tc>
          <w:tcPr>
            <w:tcW w:w="0" w:type="dxa"/>
            <w:vAlign w:val="bottom"/>
          </w:tcPr>
          <w:p>
            <w:pPr>
              <w:spacing w:after="0"/>
              <w:rPr>
                <w:sz w:val="1"/>
                <w:szCs w:val="1"/>
                <w:color w:val="auto"/>
              </w:rPr>
            </w:pPr>
          </w:p>
        </w:tc>
      </w:tr>
      <w:tr>
        <w:trPr>
          <w:trHeight w:val="293"/>
        </w:trPr>
        <w:tc>
          <w:tcPr>
            <w:tcW w:w="12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(1,990,245)</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(6,085)</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(834)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(1,990,245)</w:t>
            </w:r>
          </w:p>
        </w:tc>
        <w:tc>
          <w:tcPr>
            <w:tcW w:w="136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color w:val="auto"/>
              </w:rPr>
              <w:t>(6,085)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4,588,691</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3,850,981</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4,039,683</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553,435</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12,197,569</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10,670,070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1,461,793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5,658,081</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2,814,262</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3,522,937</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482,641</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11,704,133</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8,032,350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1,100,428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826,620</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1,030,491</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513,074</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70,291</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2,378,689</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2,630,905</w:t>
            </w:r>
          </w:p>
        </w:tc>
        <w:tc>
          <w:tcPr>
            <w:tcW w:w="104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360,432</w:t>
            </w:r>
          </w:p>
        </w:tc>
        <w:tc>
          <w:tcPr>
            <w:tcW w:w="0" w:type="dxa"/>
            <w:vAlign w:val="bottom"/>
          </w:tcPr>
          <w:p>
            <w:pPr>
              <w:spacing w:after="0"/>
              <w:rPr>
                <w:sz w:val="1"/>
                <w:szCs w:val="1"/>
                <w:color w:val="auto"/>
              </w:rPr>
            </w:pPr>
          </w:p>
        </w:tc>
      </w:tr>
      <w:tr>
        <w:trPr>
          <w:trHeight w:val="293"/>
        </w:trPr>
        <w:tc>
          <w:tcPr>
            <w:tcW w:w="12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(1,990,245)</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(6,085)</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(834)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(1,990,245)</w:t>
            </w:r>
          </w:p>
        </w:tc>
        <w:tc>
          <w:tcPr>
            <w:tcW w:w="136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color w:val="auto"/>
              </w:rPr>
              <w:t>(6,085)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4,494,456</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3,844,753</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4,029,926</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552,098</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12,092,577</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10,657,170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1,460,026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989,909,259</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997,934,606</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1,000,250,311</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1,000,250,311</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983,931,880</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996,595,976</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996,595,976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1,064,538,392</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1,062,727,888</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1,066,897,163</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1,066,897,163</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1,057,688,196</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1,064,636,715</w:t>
            </w:r>
          </w:p>
        </w:tc>
        <w:tc>
          <w:tcPr>
            <w:tcW w:w="104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1,064,636,715</w:t>
            </w:r>
          </w:p>
        </w:tc>
        <w:tc>
          <w:tcPr>
            <w:tcW w:w="0" w:type="dxa"/>
            <w:vAlign w:val="bottom"/>
          </w:tcPr>
          <w:p>
            <w:pPr>
              <w:spacing w:after="0"/>
              <w:rPr>
                <w:sz w:val="1"/>
                <w:szCs w:val="1"/>
                <w:color w:val="auto"/>
              </w:rPr>
            </w:pPr>
          </w:p>
        </w:tc>
      </w:tr>
      <w:tr>
        <w:trPr>
          <w:trHeight w:val="406"/>
        </w:trPr>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4.54</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3.85</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4.03</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0.55</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12.29</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10.69</w:t>
            </w:r>
          </w:p>
        </w:tc>
        <w:tc>
          <w:tcPr>
            <w:tcW w:w="104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88"/>
        </w:trPr>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4.23</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3.63</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3.79</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0.52</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11.46</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10.04</w:t>
            </w:r>
          </w:p>
        </w:tc>
        <w:tc>
          <w:tcPr>
            <w:tcW w:w="104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406"/>
        </w:trPr>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1,979,818,518</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1,995,869,212</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2,000,500,621</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2,000,500,621</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1,967,863,759</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1,993,191,951</w:t>
            </w:r>
          </w:p>
        </w:tc>
        <w:tc>
          <w:tcPr>
            <w:tcW w:w="104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1,993,191,951</w:t>
            </w:r>
          </w:p>
        </w:tc>
        <w:tc>
          <w:tcPr>
            <w:tcW w:w="0" w:type="dxa"/>
            <w:vAlign w:val="bottom"/>
          </w:tcPr>
          <w:p>
            <w:pPr>
              <w:spacing w:after="0"/>
              <w:rPr>
                <w:sz w:val="1"/>
                <w:szCs w:val="1"/>
                <w:color w:val="auto"/>
              </w:rPr>
            </w:pPr>
          </w:p>
        </w:tc>
      </w:tr>
      <w:tr>
        <w:trPr>
          <w:trHeight w:val="188"/>
        </w:trPr>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2,129,076,784</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2,125,455,776</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2,133,794,325</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2,133,794,325</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2,115,376,392</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2,129,273,430</w:t>
            </w:r>
          </w:p>
        </w:tc>
        <w:tc>
          <w:tcPr>
            <w:tcW w:w="104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2,129,273,430</w:t>
            </w:r>
          </w:p>
        </w:tc>
        <w:tc>
          <w:tcPr>
            <w:tcW w:w="0" w:type="dxa"/>
            <w:vAlign w:val="bottom"/>
          </w:tcPr>
          <w:p>
            <w:pPr>
              <w:spacing w:after="0"/>
              <w:rPr>
                <w:sz w:val="1"/>
                <w:szCs w:val="1"/>
                <w:color w:val="auto"/>
              </w:rPr>
            </w:pPr>
          </w:p>
        </w:tc>
      </w:tr>
      <w:tr>
        <w:trPr>
          <w:trHeight w:val="446"/>
        </w:trPr>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2.27</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1.93</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2.01</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0.28</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6.15</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5.35</w:t>
            </w:r>
          </w:p>
        </w:tc>
        <w:tc>
          <w:tcPr>
            <w:tcW w:w="104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0.73</w:t>
            </w:r>
          </w:p>
        </w:tc>
        <w:tc>
          <w:tcPr>
            <w:tcW w:w="0" w:type="dxa"/>
            <w:vAlign w:val="bottom"/>
          </w:tcPr>
          <w:p>
            <w:pPr>
              <w:spacing w:after="0"/>
              <w:rPr>
                <w:sz w:val="1"/>
                <w:szCs w:val="1"/>
                <w:color w:val="auto"/>
              </w:rPr>
            </w:pPr>
          </w:p>
        </w:tc>
      </w:tr>
      <w:tr>
        <w:trPr>
          <w:trHeight w:val="188"/>
        </w:trPr>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2.11</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1.81</w:t>
            </w: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1.89</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0.26</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5.73</w:t>
            </w:r>
          </w:p>
        </w:tc>
        <w:tc>
          <w:tcPr>
            <w:tcW w:w="13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5.02</w:t>
            </w:r>
          </w:p>
        </w:tc>
        <w:tc>
          <w:tcPr>
            <w:tcW w:w="104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0.69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-4801870</wp:posOffset>
            </wp:positionV>
            <wp:extent cx="7132320" cy="946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-4605020</wp:posOffset>
            </wp:positionV>
            <wp:extent cx="713232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-4373245</wp:posOffset>
            </wp:positionV>
            <wp:extent cx="7132320" cy="94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-4176395</wp:posOffset>
            </wp:positionV>
            <wp:extent cx="7132320" cy="214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-3850640</wp:posOffset>
            </wp:positionV>
            <wp:extent cx="7132320" cy="946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-3653155</wp:posOffset>
            </wp:positionV>
            <wp:extent cx="7132320" cy="214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-3327400</wp:posOffset>
            </wp:positionV>
            <wp:extent cx="7132320" cy="93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-3130550</wp:posOffset>
            </wp:positionV>
            <wp:extent cx="713232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-2898775</wp:posOffset>
            </wp:positionV>
            <wp:extent cx="7132320" cy="93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-2710180</wp:posOffset>
            </wp:positionV>
            <wp:extent cx="7132320"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-2367280</wp:posOffset>
            </wp:positionV>
            <wp:extent cx="7132320" cy="1111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-2067560</wp:posOffset>
            </wp:positionV>
            <wp:extent cx="7132320" cy="93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-1776095</wp:posOffset>
            </wp:positionV>
            <wp:extent cx="7132320"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-1450340</wp:posOffset>
            </wp:positionV>
            <wp:extent cx="713232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-1261745</wp:posOffset>
            </wp:positionV>
            <wp:extent cx="7132320" cy="939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-979170</wp:posOffset>
            </wp:positionV>
            <wp:extent cx="7132320" cy="939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-789940</wp:posOffset>
            </wp:positionV>
            <wp:extent cx="713232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-507365</wp:posOffset>
            </wp:positionV>
            <wp:extent cx="7132320" cy="93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-198755</wp:posOffset>
            </wp:positionV>
            <wp:extent cx="7132320" cy="94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2560" w:space="160"/>
            <w:col w:w="8500"/>
          </w:cols>
          <w:pgMar w:left="320" w:top="900" w:right="359" w:bottom="1440" w:gutter="0" w:footer="0" w:header="0"/>
          <w:type w:val="continuous"/>
        </w:sectPr>
      </w:pPr>
    </w:p>
    <w:p>
      <w:pPr>
        <w:ind w:left="120" w:hanging="112"/>
        <w:spacing w:after="0"/>
        <w:tabs>
          <w:tab w:leader="none" w:pos="120" w:val="left"/>
        </w:tabs>
        <w:numPr>
          <w:ilvl w:val="0"/>
          <w:numId w:val="30"/>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Non-GAAP items have no tax impact for all the periods presented.</w:t>
      </w:r>
    </w:p>
    <w:p>
      <w:pPr>
        <w:spacing w:after="0" w:line="236" w:lineRule="exact"/>
        <w:rPr>
          <w:sz w:val="20"/>
          <w:szCs w:val="20"/>
          <w:color w:val="auto"/>
        </w:rPr>
      </w:pPr>
    </w:p>
    <w:p>
      <w:pPr>
        <w:jc w:val="both"/>
        <w:ind w:firstLine="8"/>
        <w:spacing w:after="0" w:line="225" w:lineRule="auto"/>
        <w:tabs>
          <w:tab w:leader="none" w:pos="112" w:val="left"/>
        </w:tabs>
        <w:numPr>
          <w:ilvl w:val="0"/>
          <w:numId w:val="31"/>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Non-GAAP basic net earnings per share attributable to ordinary shareholders is calculated by dividing non-GAAP net income attributable to ordinary shareholders by the weighted average number of ordinary shares outstanding during the periods. Non-GAAP diluted net earnings per share attributable to ordinary shareholders is calculated by dividing non-GAAP net income attributable to ordinary shareholders by the weighted average number of ordinary shares and dilutive potential ordinary shares outstanding during the periods, including the dilutive effects of convertible senior notes as determined under the if-converted method and the dilutive effect of share-based awards as determined under the treasury stock method.</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bullet"/>
      <w:start w:val="1"/>
    </w:lvl>
  </w:abstractNum>
  <w:abstractNum w:abstractNumId="4">
    <w:nsid w:val="431BD7B7"/>
    <w:multiLevelType w:val="hybridMultilevel"/>
    <w:lvl w:ilvl="0">
      <w:lvlJc w:val="left"/>
      <w:lvlText w:val="2"/>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3"/>
      <w:numFmt w:val="bullet"/>
      <w:start w:val="1"/>
    </w:lvl>
  </w:abstractNum>
  <w:abstractNum w:abstractNumId="7">
    <w:nsid w:val="257130A3"/>
    <w:multiLevelType w:val="hybridMultilevel"/>
    <w:lvl w:ilvl="0">
      <w:lvlJc w:val="left"/>
      <w:lvlText w:val="4"/>
      <w:numFmt w:val="bullet"/>
      <w:start w:val="1"/>
    </w:lvl>
  </w:abstractNum>
  <w:abstractNum w:abstractNumId="8">
    <w:nsid w:val="62BBD95A"/>
    <w:multiLevelType w:val="hybridMultilevel"/>
    <w:lvl w:ilvl="0">
      <w:lvlJc w:val="left"/>
      <w:lvlText w:val="5"/>
      <w:numFmt w:val="bullet"/>
      <w:start w:val="1"/>
    </w:lvl>
  </w:abstractNum>
  <w:abstractNum w:abstractNumId="9">
    <w:nsid w:val="436C6125"/>
    <w:multiLevelType w:val="hybridMultilevel"/>
    <w:lvl w:ilvl="0">
      <w:lvlJc w:val="left"/>
      <w:lvlText w:val="6"/>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7"/>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8"/>
      <w:numFmt w:val="bullet"/>
      <w:start w:val="1"/>
    </w:lvl>
  </w:abstractNum>
  <w:abstractNum w:abstractNumId="30">
    <w:nsid w:val="7C3DBD3D"/>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2025-03-14T07:50:26Z</dcterms:created>
  <dcterms:modified xsi:type="dcterms:W3CDTF">2025-03-14T07:50:26Z</dcterms:modified>
</cp:coreProperties>
</file>