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65d1_6k.htm"/>
      <w:bookmarkStart w:id="1" w:name="kstm262336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1205"/>
        <w:gridCol w:w="60"/>
        <w:gridCol w:w="419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419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336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pPr>
            <w:hyperlink w:anchor="tm2623365d1_ex99-1.htm">
              <w:r>
                <w:rPr>
                  <w:rStyle w:val="InternetLink"/>
                  <w:rFonts w:ascii="Times New Roman;Times;Serif" w:hAnsi="Times New Roman;Times;Serif"/>
                  <w:sz w:val="20"/>
                </w:rPr>
                <w:t>Next Day Disclosure Return dated August 10, 2026</w:t>
              </w:r>
            </w:hyperlink>
          </w:p>
        </w:tc>
      </w:tr>
      <w:tr>
        <w:trPr/>
        <w:tc>
          <w:tcPr>
            <w:tcW w:w="1205" w:type="dxa"/>
            <w:tcBorders/>
            <w:tcMar>
              <w:bottom w:w="0" w:type="dxa"/>
            </w:tcMar>
            <w:vAlign w:val="center"/>
          </w:tcPr>
          <w:p>
            <w:pPr>
              <w:pStyle w:val="TableContents"/>
              <w:bidi w:val="0"/>
              <w:spacing w:before="0" w:after="283"/>
              <w:jc w:val="center"/>
              <w:rPr/>
            </w:pPr>
            <w:hyperlink w:anchor="tm2623365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pPr>
            <w:hyperlink w:anchor="tm2623365d1_ex99-2.htm">
              <w:r>
                <w:rPr>
                  <w:rStyle w:val="InternetLink"/>
                  <w:rFonts w:ascii="Times New Roman;Times;Serif" w:hAnsi="Times New Roman;Times;Serif"/>
                  <w:sz w:val="20"/>
                </w:rPr>
                <w:t>Next Day Disclosure Return dated August 11, 2026</w:t>
              </w:r>
            </w:hyperlink>
          </w:p>
        </w:tc>
      </w:tr>
      <w:tr>
        <w:trPr/>
        <w:tc>
          <w:tcPr>
            <w:tcW w:w="1205" w:type="dxa"/>
            <w:tcBorders/>
            <w:tcMar>
              <w:bottom w:w="0" w:type="dxa"/>
            </w:tcMar>
            <w:vAlign w:val="center"/>
          </w:tcPr>
          <w:p>
            <w:pPr>
              <w:pStyle w:val="TableContents"/>
              <w:bidi w:val="0"/>
              <w:spacing w:before="0" w:after="283"/>
              <w:jc w:val="center"/>
              <w:rPr/>
            </w:pPr>
            <w:hyperlink w:anchor="tm2623365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pPr>
            <w:hyperlink w:anchor="tm2623365d1_ex99-3.htm">
              <w:r>
                <w:rPr>
                  <w:rStyle w:val="InternetLink"/>
                  <w:rFonts w:ascii="Times New Roman;Times;Serif" w:hAnsi="Times New Roman;Times;Serif"/>
                  <w:sz w:val="20"/>
                </w:rPr>
                <w:t>Next Day Disclosure Return dated August 13, 2026</w:t>
              </w:r>
            </w:hyperlink>
          </w:p>
        </w:tc>
      </w:tr>
      <w:tr>
        <w:trPr/>
        <w:tc>
          <w:tcPr>
            <w:tcW w:w="1205" w:type="dxa"/>
            <w:tcBorders/>
            <w:tcMar>
              <w:bottom w:w="0" w:type="dxa"/>
            </w:tcMar>
            <w:vAlign w:val="center"/>
          </w:tcPr>
          <w:p>
            <w:pPr>
              <w:pStyle w:val="TableContents"/>
              <w:bidi w:val="0"/>
              <w:spacing w:before="0" w:after="283"/>
              <w:jc w:val="center"/>
              <w:rPr/>
            </w:pPr>
            <w:hyperlink w:anchor="tm2623365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pPr>
            <w:hyperlink w:anchor="tm2623365d1_ex99-4.htm">
              <w:r>
                <w:rPr>
                  <w:rStyle w:val="InternetLink"/>
                  <w:rFonts w:ascii="Times New Roman;Times;Serif" w:hAnsi="Times New Roman;Times;Serif"/>
                  <w:sz w:val="20"/>
                </w:rPr>
                <w:t>Next Day Disclosure Return dated August 13, 2026</w:t>
              </w:r>
            </w:hyperlink>
          </w:p>
        </w:tc>
      </w:tr>
      <w:tr>
        <w:trPr/>
        <w:tc>
          <w:tcPr>
            <w:tcW w:w="1205" w:type="dxa"/>
            <w:tcBorders/>
            <w:tcMar>
              <w:bottom w:w="0" w:type="dxa"/>
            </w:tcMar>
            <w:vAlign w:val="center"/>
          </w:tcPr>
          <w:p>
            <w:pPr>
              <w:pStyle w:val="TableContents"/>
              <w:bidi w:val="0"/>
              <w:spacing w:before="0" w:after="283"/>
              <w:jc w:val="center"/>
              <w:rPr/>
            </w:pPr>
            <w:hyperlink w:anchor="tm2623365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4190" w:type="dxa"/>
            <w:tcBorders/>
            <w:tcMar>
              <w:bottom w:w="0" w:type="dxa"/>
            </w:tcMar>
            <w:vAlign w:val="center"/>
          </w:tcPr>
          <w:p>
            <w:pPr>
              <w:pStyle w:val="TableContents"/>
              <w:bidi w:val="0"/>
              <w:spacing w:before="0" w:after="283"/>
              <w:jc w:val="left"/>
              <w:rPr/>
            </w:pPr>
            <w:hyperlink w:anchor="tm2623365d1_ex99-5.htm">
              <w:r>
                <w:rPr>
                  <w:rStyle w:val="InternetLink"/>
                  <w:rFonts w:ascii="Times New Roman;Times;Serif" w:hAnsi="Times New Roman;Times;Serif"/>
                  <w:sz w:val="20"/>
                </w:rPr>
                <w:t>Next Day Disclosure Return dated August 14, 2026</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318" w:type="dxa"/>
        <w:jc w:val="left"/>
        <w:tblInd w:w="0" w:type="dxa"/>
        <w:tblLayout w:type="fixed"/>
        <w:tblCellMar>
          <w:top w:w="0" w:type="dxa"/>
          <w:left w:w="0" w:type="dxa"/>
          <w:bottom w:w="0" w:type="dxa"/>
          <w:right w:w="0" w:type="dxa"/>
        </w:tblCellMar>
      </w:tblPr>
      <w:tblGrid>
        <w:gridCol w:w="38"/>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both"/>
              <w:rPr>
                <w:b/>
              </w:rPr>
            </w:pPr>
            <w:r>
              <w:rPr>
                <w:b/>
              </w:rPr>
              <w:t>Li Auto Inc.</w:t>
            </w:r>
          </w:p>
        </w:tc>
      </w:tr>
    </w:tbl>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75"/>
        <w:gridCol w:w="590"/>
        <w:gridCol w:w="80"/>
        <w:gridCol w:w="347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w:t>
            </w:r>
          </w:p>
        </w:tc>
        <w:tc>
          <w:tcPr>
            <w:tcW w:w="80" w:type="dxa"/>
            <w:tcBorders/>
            <w:vAlign w:val="center"/>
          </w:tcPr>
          <w:p>
            <w:pPr>
              <w:pStyle w:val="TableContents"/>
              <w:bidi w:val="0"/>
              <w:spacing w:before="0" w:after="283"/>
              <w:jc w:val="left"/>
              <w:rPr/>
            </w:pPr>
            <w:r>
              <w:rPr/>
              <w:t> </w:t>
            </w:r>
          </w:p>
        </w:tc>
        <w:tc>
          <w:tcPr>
            <w:tcW w:w="3470"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4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3365d1_ex99-1.htm"/>
      <w:bookmarkStart w:id="3" w:name="kstm2623365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10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06 August 2026 1,732,081,403 86,243,706 1,818,325,109 1). Repurchase of shares (shares held as treasury shares) Date of changes 07 August 2026 -490,050 0.0283 % 490,050 USD 6.4721 Closing balance as at (Notes 5 and 6) 07 August 2026 1,731,591,353 86,733,756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07 August 2026 490,050 On another stock exchange Nasdaq Global Select Market USD 6.5 USD 6.395 USD 3,171,652.61 Total number of shares repurchased 490,050 Aggregate price paid $ USD 3,171,652.61 Number of shares repurchased for cancellation 0 Number of shares repurchased for holding as treasury shares 490,050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67,142,416 4). As a % of number of issued shares (excluding treasury shares) as at the date of the resolution granting the repurchase mandate (a) x 100 / number of issued shares (excluding treasury shares) as at the date of the resolution granting the repurchase mandate 3.1334 % 5). Moratorium period for any issue of new shares, or sale or transfer of treasury shares after the share repurchase(s) set out in Part A (Note 2) Up to 06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3365d1_ex99-2.htm"/>
      <w:bookmarkStart w:id="5" w:name="kstm2623365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11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07 August 2026 1,731,591,353 86,733,756 1,818,325,109 1). Repurchase of shares (shares held as treasury shares) Date of changes 10 August 2026 -502,306 0.029 % 502,306 USD 6.4142 Closing balance as at (Notes 5 and 6) 10 August 2026 1,731,089,047 87,236,062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10 August 2026 502,306 On another stock exchange Nasdaq Global Select Market USD 6.46 USD 6.37 USD 3,221,916.26 Total number of shares repurchased 502,306 Aggregate price paid $ USD 3,221,916.26 Number of shares repurchased for cancellation 0 Number of shares repurchased for holding as treasury shares 502,306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67,644,722 4). As a % of number of issued shares (excluding treasury shares) as at the date of the resolution granting the repurchase mandate (a) x 100 / number of issued shares (excluding treasury shares) as at the date of the resolution granting the repurchase mandate 3.1568 % 5). Moratorium period for any issue of new shares, or sale or transfer of treasury shares after the share repurchase(s) set out in Part A (Note 2) Up to 09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3365d1_ex99-3.htm"/>
      <w:bookmarkStart w:id="7" w:name="kstm2623365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13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August 2026 1,731,089,047 87,236,062 1,818,325,109 1). Repurchase of shares (shares held as treasury shares) Date of changes 11 August 2026 -835,874 0.0483 % 835,874 USD 6.2948 Closing balance as at (Notes 5 and 6) 11 August 2026 1,730,253,173 88,071,936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11 August 2026 835,874 On another stock exchange Nasdaq Global Select Market USD 6.3525 USD 6.2 USD 5,261,659.66 Total number of shares repurchased 835,874 Aggregate price paid $ USD 5,261,659.66 Number of shares repurchased for cancellation 0 Number of shares repurchased for holding as treasury shares 835,874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68,480,596 4). As a % of number of issued shares (excluding treasury shares) as at the date of the resolution granting the repurchase mandate (a) x 100 / number of issued shares (excluding treasury shares) as at the date of the resolution granting the repurchase mandate 3.1958 % 5). Moratorium period for any issue of new shares, or sale or transfer of treasury shares after the share repurchase(s) set out in Part A (Note 2) Up to 10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3365d1_ex99-4.htm"/>
      <w:bookmarkStart w:id="9" w:name="kstm2623365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13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11 August 2026 1,730,253,173 88,071,936 1,818,325,109 1). Repurchase of shares (shares held as treasury shares) Date of changes 12 August 2026 -603,968 0.0349 % 603,968 USD 6.2796 Closing balance as at (Notes 5 and 6) 12 August 2026 1,729,649,205 88,675,904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12 August 2026 603,968 On another stock exchange Nasdaq Global Select Market USD 6.345 USD 6.23 USD 3,792,707.65 Total number of shares repurchased 603,968 Aggregate price paid $ USD 3,792,707.65 Number of shares repurchased for cancellation 0 Number of shares repurchased for holding as treasury shares 603,968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69,084,564 4). As a % of number of issued shares (excluding treasury shares) as at the date of the resolution granting the repurchase mandate (a) x 100 / number of issued shares (excluding treasury shares) as at the date of the resolution granting the repurchase mandate 3.224 % 5). Moratorium period for any issue of new shares, or sale or transfer of treasury shares after the share repurchase(s) set out in Part A (Note 2) Up to 11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3365d1_ex99-5.htm"/>
      <w:bookmarkStart w:id="11" w:name="kstm2623365d1_ex995"/>
      <w:bookmarkEnd w:id="10"/>
      <w:bookmarkEnd w:id="11"/>
      <w:r>
        <w:rPr>
          <w:rFonts w:ascii="Times New Roman" w:hAnsi="Times New Roman"/>
          <w:b/>
          <w:sz w:val="20"/>
        </w:rPr>
        <w:t>Exhibit 99.5</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14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12 August 2026 1,729,649,205 88,675,904 1,818,325,109 1). Repurchase of shares (shares held as treasury shares) Date of changes 13 August 2026 -605,692 0.035 % 605,692 USD 6.1316 Closing balance as at (Notes 5 and 6) 13 August 2026 1,729,043,513 89,281,596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13 August 2026 605,692 On another stock exchange Nasdaq Global Select Market USD 6.19 USD 6.095 USD 3,713,861.07 Total number of shares repurchased 605,692 Aggregate price paid $ USD 3,713,861.07 Number of shares repurchased for cancellation 0 Number of shares repurchased for holding as treasury shares 605,692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69,690,256 4). As a % of number of issued shares (excluding treasury shares) as at the date of the resolution granting the repurchase mandate (a) x 100 / number of issued shares (excluding treasury shares) as at the date of the resolution granting the repurchase mandate 3.252 % 5). Moratorium period for any issue of new shares, or sale or transfer of treasury shares after the share repurchase(s) set out in Part A (Note 2) Up to 12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10.jpeg"/><Relationship Id="rId18" Type="http://schemas.openxmlformats.org/officeDocument/2006/relationships/image" Target="media/image2.jpeg"/><Relationship Id="rId19" Type="http://schemas.openxmlformats.org/officeDocument/2006/relationships/image" Target="media/image11.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12.jpeg"/><Relationship Id="rId23" Type="http://schemas.openxmlformats.org/officeDocument/2006/relationships/image" Target="media/image2.jpeg"/><Relationship Id="rId24" Type="http://schemas.openxmlformats.org/officeDocument/2006/relationships/image" Target="media/image13.jpeg"/><Relationship Id="rId25" Type="http://schemas.openxmlformats.org/officeDocument/2006/relationships/image" Target="media/image4.jpeg"/><Relationship Id="rId26" Type="http://schemas.openxmlformats.org/officeDocument/2006/relationships/image" Target="media/image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6879</Words>
  <Characters>33943</Characters>
  <CharactersWithSpaces>40810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