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spacing w:after="0"/>
        <w:rPr>
          <w:rFonts w:ascii="Arial" w:cs="Arial" w:eastAsia="Arial" w:hAnsi="Arial"/>
          <w:sz w:val="22"/>
          <w:szCs w:val="22"/>
          <w:color w:val="0000EE"/>
        </w:rPr>
      </w:pPr>
      <w:hyperlink w:anchor="page1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July 27, 2020</w:t>
      </w:r>
    </w:p>
    <w:p>
      <w:pPr>
        <w:spacing w:after="0" w:line="215"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333-239812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AMENDMENT NO. 2</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F-1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w:t>
      </w:r>
    </w:p>
    <w:p>
      <w:pPr>
        <w:jc w:val="center"/>
        <w:spacing w:after="0"/>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Li Auto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3000" w:type="dxa"/>
        <w:tblCellMar>
          <w:top w:w="0" w:type="dxa"/>
          <w:left w:w="0" w:type="dxa"/>
          <w:bottom w:w="0" w:type="dxa"/>
          <w:right w:w="0" w:type="dxa"/>
        </w:tblCellMar>
      </w:tblPr>
      <w:tr>
        <w:trPr>
          <w:trHeight w:val="150"/>
        </w:trPr>
        <w:tc>
          <w:tcPr>
            <w:tcW w:w="172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Cayman Islands</w:t>
            </w:r>
          </w:p>
        </w:tc>
        <w:tc>
          <w:tcPr>
            <w:tcW w:w="1960" w:type="dxa"/>
            <w:vAlign w:val="bottom"/>
          </w:tcPr>
          <w:p>
            <w:pPr>
              <w:jc w:val="center"/>
              <w:ind w:right="73"/>
              <w:spacing w:after="0"/>
              <w:rPr>
                <w:sz w:val="20"/>
                <w:szCs w:val="20"/>
                <w:color w:val="auto"/>
              </w:rPr>
            </w:pPr>
            <w:r>
              <w:rPr>
                <w:rFonts w:ascii="Arial" w:cs="Arial" w:eastAsia="Arial" w:hAnsi="Arial"/>
                <w:sz w:val="13"/>
                <w:szCs w:val="13"/>
                <w:b w:val="1"/>
                <w:bCs w:val="1"/>
                <w:color w:val="auto"/>
                <w:w w:val="89"/>
              </w:rPr>
              <w:t>3711</w:t>
            </w:r>
          </w:p>
        </w:tc>
        <w:tc>
          <w:tcPr>
            <w:tcW w:w="1260" w:type="dxa"/>
            <w:vAlign w:val="bottom"/>
          </w:tcPr>
          <w:p>
            <w:pPr>
              <w:jc w:val="center"/>
              <w:ind w:left="213"/>
              <w:spacing w:after="0"/>
              <w:rPr>
                <w:sz w:val="20"/>
                <w:szCs w:val="20"/>
                <w:color w:val="auto"/>
              </w:rPr>
            </w:pPr>
            <w:r>
              <w:rPr>
                <w:rFonts w:ascii="Arial" w:cs="Arial" w:eastAsia="Arial" w:hAnsi="Arial"/>
                <w:sz w:val="13"/>
                <w:szCs w:val="13"/>
                <w:b w:val="1"/>
                <w:bCs w:val="1"/>
                <w:color w:val="auto"/>
                <w:w w:val="94"/>
              </w:rPr>
              <w:t>Not Applicable</w:t>
            </w:r>
          </w:p>
        </w:tc>
      </w:tr>
      <w:tr>
        <w:trPr>
          <w:trHeight w:val="148"/>
        </w:trPr>
        <w:tc>
          <w:tcPr>
            <w:tcW w:w="1720" w:type="dxa"/>
            <w:vAlign w:val="bottom"/>
          </w:tcPr>
          <w:p>
            <w:pPr>
              <w:jc w:val="center"/>
              <w:ind w:right="33"/>
              <w:spacing w:after="0"/>
              <w:rPr>
                <w:sz w:val="20"/>
                <w:szCs w:val="20"/>
                <w:color w:val="auto"/>
              </w:rPr>
            </w:pPr>
            <w:r>
              <w:rPr>
                <w:rFonts w:ascii="Arial" w:cs="Arial" w:eastAsia="Arial" w:hAnsi="Arial"/>
                <w:sz w:val="13"/>
                <w:szCs w:val="13"/>
                <w:color w:val="auto"/>
                <w:w w:val="97"/>
              </w:rPr>
              <w:t>(State or other jurisdiction of</w:t>
            </w:r>
          </w:p>
        </w:tc>
        <w:tc>
          <w:tcPr>
            <w:tcW w:w="1960" w:type="dxa"/>
            <w:vAlign w:val="bottom"/>
          </w:tcPr>
          <w:p>
            <w:pPr>
              <w:jc w:val="center"/>
              <w:ind w:right="73"/>
              <w:spacing w:after="0"/>
              <w:rPr>
                <w:sz w:val="20"/>
                <w:szCs w:val="20"/>
                <w:color w:val="auto"/>
              </w:rPr>
            </w:pPr>
            <w:r>
              <w:rPr>
                <w:rFonts w:ascii="Arial" w:cs="Arial" w:eastAsia="Arial" w:hAnsi="Arial"/>
                <w:sz w:val="13"/>
                <w:szCs w:val="13"/>
                <w:color w:val="auto"/>
                <w:w w:val="95"/>
              </w:rPr>
              <w:t>(Primary Standard Industrial</w:t>
            </w:r>
          </w:p>
        </w:tc>
        <w:tc>
          <w:tcPr>
            <w:tcW w:w="1260" w:type="dxa"/>
            <w:vAlign w:val="bottom"/>
          </w:tcPr>
          <w:p>
            <w:pPr>
              <w:jc w:val="center"/>
              <w:ind w:left="193"/>
              <w:spacing w:after="0"/>
              <w:rPr>
                <w:sz w:val="20"/>
                <w:szCs w:val="20"/>
                <w:color w:val="auto"/>
              </w:rPr>
            </w:pPr>
            <w:r>
              <w:rPr>
                <w:rFonts w:ascii="Arial" w:cs="Arial" w:eastAsia="Arial" w:hAnsi="Arial"/>
                <w:sz w:val="13"/>
                <w:szCs w:val="13"/>
                <w:color w:val="auto"/>
                <w:w w:val="96"/>
              </w:rPr>
              <w:t>(I.R.S. Employer</w:t>
            </w:r>
          </w:p>
        </w:tc>
      </w:tr>
      <w:tr>
        <w:trPr>
          <w:trHeight w:val="172"/>
        </w:trPr>
        <w:tc>
          <w:tcPr>
            <w:tcW w:w="1720" w:type="dxa"/>
            <w:vAlign w:val="bottom"/>
          </w:tcPr>
          <w:p>
            <w:pPr>
              <w:jc w:val="center"/>
              <w:ind w:right="33"/>
              <w:spacing w:after="0"/>
              <w:rPr>
                <w:sz w:val="20"/>
                <w:szCs w:val="20"/>
                <w:color w:val="auto"/>
              </w:rPr>
            </w:pPr>
            <w:r>
              <w:rPr>
                <w:rFonts w:ascii="Arial" w:cs="Arial" w:eastAsia="Arial" w:hAnsi="Arial"/>
                <w:sz w:val="13"/>
                <w:szCs w:val="13"/>
                <w:color w:val="auto"/>
                <w:w w:val="95"/>
              </w:rPr>
              <w:t>incorporation or organization)</w:t>
            </w:r>
          </w:p>
        </w:tc>
        <w:tc>
          <w:tcPr>
            <w:tcW w:w="1960" w:type="dxa"/>
            <w:vAlign w:val="bottom"/>
          </w:tcPr>
          <w:p>
            <w:pPr>
              <w:jc w:val="center"/>
              <w:ind w:right="73"/>
              <w:spacing w:after="0"/>
              <w:rPr>
                <w:sz w:val="20"/>
                <w:szCs w:val="20"/>
                <w:color w:val="auto"/>
              </w:rPr>
            </w:pPr>
            <w:r>
              <w:rPr>
                <w:rFonts w:ascii="Arial" w:cs="Arial" w:eastAsia="Arial" w:hAnsi="Arial"/>
                <w:sz w:val="13"/>
                <w:szCs w:val="13"/>
                <w:color w:val="auto"/>
                <w:w w:val="95"/>
              </w:rPr>
              <w:t>Classification Code Number)</w:t>
            </w:r>
          </w:p>
        </w:tc>
        <w:tc>
          <w:tcPr>
            <w:tcW w:w="1260" w:type="dxa"/>
            <w:vAlign w:val="bottom"/>
          </w:tcPr>
          <w:p>
            <w:pPr>
              <w:jc w:val="center"/>
              <w:ind w:left="193"/>
              <w:spacing w:after="0"/>
              <w:rPr>
                <w:sz w:val="20"/>
                <w:szCs w:val="20"/>
                <w:color w:val="auto"/>
              </w:rPr>
            </w:pPr>
            <w:r>
              <w:rPr>
                <w:rFonts w:ascii="Arial" w:cs="Arial" w:eastAsia="Arial" w:hAnsi="Arial"/>
                <w:sz w:val="13"/>
                <w:szCs w:val="13"/>
                <w:color w:val="auto"/>
                <w:w w:val="98"/>
              </w:rPr>
              <w:t>Identification No.)</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8th Floor, Block D, Building 8</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4th District of Wangjing East Garden</w:t>
      </w:r>
    </w:p>
    <w:p>
      <w:pPr>
        <w:jc w:val="center"/>
        <w:spacing w:after="0"/>
        <w:rPr>
          <w:sz w:val="20"/>
          <w:szCs w:val="20"/>
          <w:color w:val="auto"/>
        </w:rPr>
      </w:pPr>
      <w:r>
        <w:rPr>
          <w:rFonts w:ascii="Arial" w:cs="Arial" w:eastAsia="Arial" w:hAnsi="Arial"/>
          <w:sz w:val="13"/>
          <w:szCs w:val="13"/>
          <w:b w:val="1"/>
          <w:bCs w:val="1"/>
          <w:color w:val="auto"/>
        </w:rPr>
        <w:t>Chaoyang District, Beijing 100102</w:t>
      </w:r>
    </w:p>
    <w:p>
      <w:pPr>
        <w:jc w:val="center"/>
        <w:spacing w:after="0"/>
        <w:rPr>
          <w:sz w:val="20"/>
          <w:szCs w:val="20"/>
          <w:color w:val="auto"/>
        </w:rPr>
      </w:pPr>
      <w:r>
        <w:rPr>
          <w:rFonts w:ascii="Arial" w:cs="Arial" w:eastAsia="Arial" w:hAnsi="Arial"/>
          <w:sz w:val="13"/>
          <w:szCs w:val="13"/>
          <w:b w:val="1"/>
          <w:bCs w:val="1"/>
          <w:color w:val="auto"/>
        </w:rPr>
        <w:t>People's Republic of China</w:t>
      </w:r>
    </w:p>
    <w:p>
      <w:pPr>
        <w:jc w:val="center"/>
        <w:spacing w:after="0"/>
        <w:rPr>
          <w:sz w:val="20"/>
          <w:szCs w:val="20"/>
          <w:color w:val="auto"/>
        </w:rPr>
      </w:pPr>
      <w:r>
        <w:rPr>
          <w:rFonts w:ascii="Arial" w:cs="Arial" w:eastAsia="Arial" w:hAnsi="Arial"/>
          <w:sz w:val="13"/>
          <w:szCs w:val="13"/>
          <w:b w:val="1"/>
          <w:bCs w:val="1"/>
          <w:color w:val="auto"/>
        </w:rPr>
        <w:t>+86 (10) 8742-7209</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Cogency Global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122 East 42nd Street, 18th Floor</w:t>
      </w:r>
    </w:p>
    <w:p>
      <w:pPr>
        <w:jc w:val="center"/>
        <w:spacing w:after="0"/>
        <w:rPr>
          <w:sz w:val="20"/>
          <w:szCs w:val="20"/>
          <w:color w:val="auto"/>
        </w:rPr>
      </w:pPr>
      <w:r>
        <w:rPr>
          <w:rFonts w:ascii="Arial" w:cs="Arial" w:eastAsia="Arial" w:hAnsi="Arial"/>
          <w:sz w:val="13"/>
          <w:szCs w:val="13"/>
          <w:b w:val="1"/>
          <w:bCs w:val="1"/>
          <w:color w:val="auto"/>
        </w:rPr>
        <w:t>New York, NY 10168</w:t>
      </w:r>
    </w:p>
    <w:p>
      <w:pPr>
        <w:jc w:val="center"/>
        <w:spacing w:after="0"/>
        <w:rPr>
          <w:sz w:val="20"/>
          <w:szCs w:val="20"/>
          <w:color w:val="auto"/>
        </w:rPr>
      </w:pPr>
      <w:r>
        <w:rPr>
          <w:rFonts w:ascii="Arial" w:cs="Arial" w:eastAsia="Arial" w:hAnsi="Arial"/>
          <w:sz w:val="13"/>
          <w:szCs w:val="13"/>
          <w:b w:val="1"/>
          <w:bCs w:val="1"/>
          <w:color w:val="auto"/>
        </w:rPr>
        <w:t>(800) 221-0102</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122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1"/>
              </w:rPr>
              <w:t>Copies to:</w:t>
            </w: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980" w:type="dxa"/>
            <w:vAlign w:val="bottom"/>
            <w:vMerge w:val="restart"/>
          </w:tcPr>
          <w:p>
            <w:pPr>
              <w:jc w:val="center"/>
              <w:ind w:right="353"/>
              <w:spacing w:after="0"/>
              <w:rPr>
                <w:sz w:val="20"/>
                <w:szCs w:val="20"/>
                <w:color w:val="auto"/>
              </w:rPr>
            </w:pPr>
            <w:r>
              <w:rPr>
                <w:rFonts w:ascii="Arial" w:cs="Arial" w:eastAsia="Arial" w:hAnsi="Arial"/>
                <w:sz w:val="13"/>
                <w:szCs w:val="13"/>
                <w:b w:val="1"/>
                <w:bCs w:val="1"/>
                <w:color w:val="auto"/>
                <w:w w:val="95"/>
              </w:rPr>
              <w:t>Z. Julie Gao, Esq.</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8"/>
              </w:rPr>
              <w:t>Haiping Li, Esq.</w:t>
            </w:r>
          </w:p>
        </w:tc>
        <w:tc>
          <w:tcPr>
            <w:tcW w:w="3100" w:type="dxa"/>
            <w:vAlign w:val="bottom"/>
          </w:tcPr>
          <w:p>
            <w:pPr>
              <w:jc w:val="center"/>
              <w:ind w:left="253"/>
              <w:spacing w:after="0"/>
              <w:rPr>
                <w:sz w:val="20"/>
                <w:szCs w:val="20"/>
                <w:color w:val="auto"/>
              </w:rPr>
            </w:pPr>
            <w:r>
              <w:rPr>
                <w:rFonts w:ascii="Arial" w:cs="Arial" w:eastAsia="Arial" w:hAnsi="Arial"/>
                <w:sz w:val="13"/>
                <w:szCs w:val="13"/>
                <w:b w:val="1"/>
                <w:bCs w:val="1"/>
                <w:color w:val="auto"/>
                <w:w w:val="95"/>
              </w:rPr>
              <w:t>David T. Zhang, Esq.</w:t>
            </w:r>
          </w:p>
        </w:tc>
        <w:tc>
          <w:tcPr>
            <w:tcW w:w="0" w:type="dxa"/>
            <w:vAlign w:val="bottom"/>
          </w:tcPr>
          <w:p>
            <w:pPr>
              <w:spacing w:after="0"/>
              <w:rPr>
                <w:sz w:val="1"/>
                <w:szCs w:val="1"/>
                <w:color w:val="auto"/>
              </w:rPr>
            </w:pPr>
          </w:p>
        </w:tc>
      </w:tr>
      <w:tr>
        <w:trPr>
          <w:trHeight w:val="95"/>
        </w:trPr>
        <w:tc>
          <w:tcPr>
            <w:tcW w:w="2980" w:type="dxa"/>
            <w:vAlign w:val="bottom"/>
            <w:vMerge w:val="continue"/>
          </w:tcPr>
          <w:p>
            <w:pPr>
              <w:spacing w:after="0"/>
              <w:rPr>
                <w:sz w:val="8"/>
                <w:szCs w:val="8"/>
                <w:color w:val="auto"/>
              </w:rPr>
            </w:pPr>
          </w:p>
        </w:tc>
        <w:tc>
          <w:tcPr>
            <w:tcW w:w="2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Skadden, Arps, Slate, Meagher &amp; Flom LLP</w:t>
            </w:r>
          </w:p>
        </w:tc>
        <w:tc>
          <w:tcPr>
            <w:tcW w:w="3100" w:type="dxa"/>
            <w:vAlign w:val="bottom"/>
            <w:vMerge w:val="restart"/>
          </w:tcPr>
          <w:p>
            <w:pPr>
              <w:jc w:val="center"/>
              <w:ind w:left="253"/>
              <w:spacing w:after="0"/>
              <w:rPr>
                <w:sz w:val="20"/>
                <w:szCs w:val="20"/>
                <w:color w:val="auto"/>
              </w:rPr>
            </w:pPr>
            <w:r>
              <w:rPr>
                <w:rFonts w:ascii="Arial" w:cs="Arial" w:eastAsia="Arial" w:hAnsi="Arial"/>
                <w:sz w:val="13"/>
                <w:szCs w:val="13"/>
                <w:b w:val="1"/>
                <w:bCs w:val="1"/>
                <w:color w:val="auto"/>
                <w:w w:val="92"/>
              </w:rPr>
              <w:t>Steve Lin, Esq.</w:t>
            </w:r>
          </w:p>
        </w:tc>
        <w:tc>
          <w:tcPr>
            <w:tcW w:w="0" w:type="dxa"/>
            <w:vAlign w:val="bottom"/>
          </w:tcPr>
          <w:p>
            <w:pPr>
              <w:spacing w:after="0"/>
              <w:rPr>
                <w:sz w:val="1"/>
                <w:szCs w:val="1"/>
                <w:color w:val="auto"/>
              </w:rPr>
            </w:pPr>
          </w:p>
        </w:tc>
      </w:tr>
      <w:tr>
        <w:trPr>
          <w:trHeight w:val="54"/>
        </w:trPr>
        <w:tc>
          <w:tcPr>
            <w:tcW w:w="2980" w:type="dxa"/>
            <w:vAlign w:val="bottom"/>
            <w:vMerge w:val="restart"/>
          </w:tcPr>
          <w:p>
            <w:pPr>
              <w:jc w:val="center"/>
              <w:ind w:right="353"/>
              <w:spacing w:after="0"/>
              <w:rPr>
                <w:sz w:val="20"/>
                <w:szCs w:val="20"/>
                <w:color w:val="auto"/>
              </w:rPr>
            </w:pPr>
            <w:r>
              <w:rPr>
                <w:rFonts w:ascii="Arial" w:cs="Arial" w:eastAsia="Arial" w:hAnsi="Arial"/>
                <w:sz w:val="13"/>
                <w:szCs w:val="13"/>
                <w:b w:val="1"/>
                <w:bCs w:val="1"/>
                <w:color w:val="auto"/>
                <w:w w:val="96"/>
              </w:rPr>
              <w:t>Skadden, Arps, Slate, Meagher &amp; Flom LLP</w:t>
            </w:r>
          </w:p>
        </w:tc>
        <w:tc>
          <w:tcPr>
            <w:tcW w:w="2840" w:type="dxa"/>
            <w:vAlign w:val="bottom"/>
            <w:vMerge w:val="continue"/>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980" w:type="dxa"/>
            <w:vAlign w:val="bottom"/>
            <w:vMerge w:val="continue"/>
          </w:tcPr>
          <w:p>
            <w:pPr>
              <w:spacing w:after="0"/>
              <w:rPr>
                <w:sz w:val="8"/>
                <w:szCs w:val="8"/>
                <w:color w:val="auto"/>
              </w:rPr>
            </w:pPr>
          </w:p>
        </w:tc>
        <w:tc>
          <w:tcPr>
            <w:tcW w:w="2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46/F, Tower 2, Jing An Kerry Center</w:t>
            </w:r>
          </w:p>
        </w:tc>
        <w:tc>
          <w:tcPr>
            <w:tcW w:w="3100" w:type="dxa"/>
            <w:vAlign w:val="bottom"/>
            <w:vMerge w:val="restart"/>
          </w:tcPr>
          <w:p>
            <w:pPr>
              <w:jc w:val="center"/>
              <w:ind w:left="253"/>
              <w:spacing w:after="0"/>
              <w:rPr>
                <w:sz w:val="20"/>
                <w:szCs w:val="20"/>
                <w:color w:val="auto"/>
              </w:rPr>
            </w:pPr>
            <w:r>
              <w:rPr>
                <w:rFonts w:ascii="Arial" w:cs="Arial" w:eastAsia="Arial" w:hAnsi="Arial"/>
                <w:sz w:val="13"/>
                <w:szCs w:val="13"/>
                <w:b w:val="1"/>
                <w:bCs w:val="1"/>
                <w:color w:val="auto"/>
              </w:rPr>
              <w:t>Kirkland &amp; Ellis International LLP</w:t>
            </w:r>
          </w:p>
        </w:tc>
        <w:tc>
          <w:tcPr>
            <w:tcW w:w="0" w:type="dxa"/>
            <w:vAlign w:val="bottom"/>
          </w:tcPr>
          <w:p>
            <w:pPr>
              <w:spacing w:after="0"/>
              <w:rPr>
                <w:sz w:val="1"/>
                <w:szCs w:val="1"/>
                <w:color w:val="auto"/>
              </w:rPr>
            </w:pPr>
          </w:p>
        </w:tc>
      </w:tr>
      <w:tr>
        <w:trPr>
          <w:trHeight w:val="54"/>
        </w:trPr>
        <w:tc>
          <w:tcPr>
            <w:tcW w:w="2980" w:type="dxa"/>
            <w:vAlign w:val="bottom"/>
            <w:vMerge w:val="restart"/>
          </w:tcPr>
          <w:p>
            <w:pPr>
              <w:jc w:val="center"/>
              <w:ind w:right="353"/>
              <w:spacing w:after="0"/>
              <w:rPr>
                <w:sz w:val="20"/>
                <w:szCs w:val="20"/>
                <w:color w:val="auto"/>
              </w:rPr>
            </w:pPr>
            <w:r>
              <w:rPr>
                <w:rFonts w:ascii="Arial" w:cs="Arial" w:eastAsia="Arial" w:hAnsi="Arial"/>
                <w:sz w:val="13"/>
                <w:szCs w:val="13"/>
                <w:b w:val="1"/>
                <w:bCs w:val="1"/>
                <w:color w:val="auto"/>
                <w:w w:val="95"/>
              </w:rPr>
              <w:t>c/o 42/F, Edinburgh Tower, The Landmark</w:t>
            </w:r>
          </w:p>
        </w:tc>
        <w:tc>
          <w:tcPr>
            <w:tcW w:w="2840" w:type="dxa"/>
            <w:vAlign w:val="bottom"/>
            <w:vMerge w:val="continue"/>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980" w:type="dxa"/>
            <w:vAlign w:val="bottom"/>
            <w:vMerge w:val="continue"/>
          </w:tcPr>
          <w:p>
            <w:pPr>
              <w:spacing w:after="0"/>
              <w:rPr>
                <w:sz w:val="8"/>
                <w:szCs w:val="8"/>
                <w:color w:val="auto"/>
              </w:rPr>
            </w:pPr>
          </w:p>
        </w:tc>
        <w:tc>
          <w:tcPr>
            <w:tcW w:w="2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1539 Nanjing West Road, Shanghai</w:t>
            </w:r>
          </w:p>
        </w:tc>
        <w:tc>
          <w:tcPr>
            <w:tcW w:w="3100" w:type="dxa"/>
            <w:vAlign w:val="bottom"/>
            <w:vMerge w:val="restart"/>
          </w:tcPr>
          <w:p>
            <w:pPr>
              <w:jc w:val="center"/>
              <w:ind w:left="233"/>
              <w:spacing w:after="0"/>
              <w:rPr>
                <w:sz w:val="20"/>
                <w:szCs w:val="20"/>
                <w:color w:val="auto"/>
              </w:rPr>
            </w:pPr>
            <w:r>
              <w:rPr>
                <w:rFonts w:ascii="Arial" w:cs="Arial" w:eastAsia="Arial" w:hAnsi="Arial"/>
                <w:sz w:val="13"/>
                <w:szCs w:val="13"/>
                <w:b w:val="1"/>
                <w:bCs w:val="1"/>
                <w:color w:val="auto"/>
                <w:w w:val="93"/>
              </w:rPr>
              <w:t>c/o 26th Floor, Gloucester Tower, The Landmark</w:t>
            </w:r>
          </w:p>
        </w:tc>
        <w:tc>
          <w:tcPr>
            <w:tcW w:w="0" w:type="dxa"/>
            <w:vAlign w:val="bottom"/>
          </w:tcPr>
          <w:p>
            <w:pPr>
              <w:spacing w:after="0"/>
              <w:rPr>
                <w:sz w:val="1"/>
                <w:szCs w:val="1"/>
                <w:color w:val="auto"/>
              </w:rPr>
            </w:pPr>
          </w:p>
        </w:tc>
      </w:tr>
      <w:tr>
        <w:trPr>
          <w:trHeight w:val="54"/>
        </w:trPr>
        <w:tc>
          <w:tcPr>
            <w:tcW w:w="2980" w:type="dxa"/>
            <w:vAlign w:val="bottom"/>
            <w:vMerge w:val="restart"/>
          </w:tcPr>
          <w:p>
            <w:pPr>
              <w:jc w:val="center"/>
              <w:ind w:right="353"/>
              <w:spacing w:after="0"/>
              <w:rPr>
                <w:sz w:val="20"/>
                <w:szCs w:val="20"/>
                <w:color w:val="auto"/>
              </w:rPr>
            </w:pPr>
            <w:r>
              <w:rPr>
                <w:rFonts w:ascii="Arial" w:cs="Arial" w:eastAsia="Arial" w:hAnsi="Arial"/>
                <w:sz w:val="13"/>
                <w:szCs w:val="13"/>
                <w:b w:val="1"/>
                <w:bCs w:val="1"/>
                <w:color w:val="auto"/>
                <w:w w:val="93"/>
              </w:rPr>
              <w:t>15 Queen's Road Central</w:t>
            </w:r>
          </w:p>
        </w:tc>
        <w:tc>
          <w:tcPr>
            <w:tcW w:w="2840" w:type="dxa"/>
            <w:vAlign w:val="bottom"/>
            <w:vMerge w:val="continue"/>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980" w:type="dxa"/>
            <w:vAlign w:val="bottom"/>
            <w:vMerge w:val="continue"/>
          </w:tcPr>
          <w:p>
            <w:pPr>
              <w:spacing w:after="0"/>
              <w:rPr>
                <w:sz w:val="8"/>
                <w:szCs w:val="8"/>
                <w:color w:val="auto"/>
              </w:rPr>
            </w:pPr>
          </w:p>
        </w:tc>
        <w:tc>
          <w:tcPr>
            <w:tcW w:w="2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People's Republic of China</w:t>
            </w:r>
          </w:p>
        </w:tc>
        <w:tc>
          <w:tcPr>
            <w:tcW w:w="3100" w:type="dxa"/>
            <w:vAlign w:val="bottom"/>
            <w:vMerge w:val="restart"/>
          </w:tcPr>
          <w:p>
            <w:pPr>
              <w:jc w:val="center"/>
              <w:ind w:left="233"/>
              <w:spacing w:after="0"/>
              <w:rPr>
                <w:sz w:val="20"/>
                <w:szCs w:val="20"/>
                <w:color w:val="auto"/>
              </w:rPr>
            </w:pPr>
            <w:r>
              <w:rPr>
                <w:rFonts w:ascii="Arial" w:cs="Arial" w:eastAsia="Arial" w:hAnsi="Arial"/>
                <w:sz w:val="13"/>
                <w:szCs w:val="13"/>
                <w:b w:val="1"/>
                <w:bCs w:val="1"/>
                <w:color w:val="auto"/>
                <w:w w:val="93"/>
              </w:rPr>
              <w:t>15 Queen's Road Central</w:t>
            </w:r>
          </w:p>
        </w:tc>
        <w:tc>
          <w:tcPr>
            <w:tcW w:w="0" w:type="dxa"/>
            <w:vAlign w:val="bottom"/>
          </w:tcPr>
          <w:p>
            <w:pPr>
              <w:spacing w:after="0"/>
              <w:rPr>
                <w:sz w:val="1"/>
                <w:szCs w:val="1"/>
                <w:color w:val="auto"/>
              </w:rPr>
            </w:pPr>
          </w:p>
        </w:tc>
      </w:tr>
      <w:tr>
        <w:trPr>
          <w:trHeight w:val="54"/>
        </w:trPr>
        <w:tc>
          <w:tcPr>
            <w:tcW w:w="2980" w:type="dxa"/>
            <w:vAlign w:val="bottom"/>
            <w:vMerge w:val="restart"/>
          </w:tcPr>
          <w:p>
            <w:pPr>
              <w:jc w:val="center"/>
              <w:ind w:right="353"/>
              <w:spacing w:after="0"/>
              <w:rPr>
                <w:sz w:val="20"/>
                <w:szCs w:val="20"/>
                <w:color w:val="auto"/>
              </w:rPr>
            </w:pPr>
            <w:r>
              <w:rPr>
                <w:rFonts w:ascii="Arial" w:cs="Arial" w:eastAsia="Arial" w:hAnsi="Arial"/>
                <w:sz w:val="13"/>
                <w:szCs w:val="13"/>
                <w:b w:val="1"/>
                <w:bCs w:val="1"/>
                <w:color w:val="auto"/>
                <w:w w:val="97"/>
              </w:rPr>
              <w:t>Hong Kong</w:t>
            </w:r>
          </w:p>
        </w:tc>
        <w:tc>
          <w:tcPr>
            <w:tcW w:w="2840" w:type="dxa"/>
            <w:vAlign w:val="bottom"/>
            <w:vMerge w:val="continue"/>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980" w:type="dxa"/>
            <w:vAlign w:val="bottom"/>
            <w:vMerge w:val="continue"/>
          </w:tcPr>
          <w:p>
            <w:pPr>
              <w:spacing w:after="0"/>
              <w:rPr>
                <w:sz w:val="8"/>
                <w:szCs w:val="8"/>
                <w:color w:val="auto"/>
              </w:rPr>
            </w:pPr>
          </w:p>
        </w:tc>
        <w:tc>
          <w:tcPr>
            <w:tcW w:w="2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+86 (21) 6193-8200</w:t>
            </w:r>
          </w:p>
        </w:tc>
        <w:tc>
          <w:tcPr>
            <w:tcW w:w="3100" w:type="dxa"/>
            <w:vAlign w:val="bottom"/>
            <w:vMerge w:val="restart"/>
          </w:tcPr>
          <w:p>
            <w:pPr>
              <w:jc w:val="center"/>
              <w:ind w:left="253"/>
              <w:spacing w:after="0"/>
              <w:rPr>
                <w:sz w:val="20"/>
                <w:szCs w:val="20"/>
                <w:color w:val="auto"/>
              </w:rPr>
            </w:pPr>
            <w:r>
              <w:rPr>
                <w:rFonts w:ascii="Arial" w:cs="Arial" w:eastAsia="Arial" w:hAnsi="Arial"/>
                <w:sz w:val="13"/>
                <w:szCs w:val="13"/>
                <w:b w:val="1"/>
                <w:bCs w:val="1"/>
                <w:color w:val="auto"/>
                <w:w w:val="94"/>
              </w:rPr>
              <w:t>Hong Kong</w:t>
            </w:r>
          </w:p>
        </w:tc>
        <w:tc>
          <w:tcPr>
            <w:tcW w:w="0" w:type="dxa"/>
            <w:vAlign w:val="bottom"/>
          </w:tcPr>
          <w:p>
            <w:pPr>
              <w:spacing w:after="0"/>
              <w:rPr>
                <w:sz w:val="1"/>
                <w:szCs w:val="1"/>
                <w:color w:val="auto"/>
              </w:rPr>
            </w:pPr>
          </w:p>
        </w:tc>
      </w:tr>
      <w:tr>
        <w:trPr>
          <w:trHeight w:val="54"/>
        </w:trPr>
        <w:tc>
          <w:tcPr>
            <w:tcW w:w="2980" w:type="dxa"/>
            <w:vAlign w:val="bottom"/>
            <w:vMerge w:val="restart"/>
          </w:tcPr>
          <w:p>
            <w:pPr>
              <w:jc w:val="center"/>
              <w:ind w:right="373"/>
              <w:spacing w:after="0"/>
              <w:rPr>
                <w:sz w:val="20"/>
                <w:szCs w:val="20"/>
                <w:color w:val="auto"/>
              </w:rPr>
            </w:pPr>
            <w:r>
              <w:rPr>
                <w:rFonts w:ascii="Arial" w:cs="Arial" w:eastAsia="Arial" w:hAnsi="Arial"/>
                <w:sz w:val="13"/>
                <w:szCs w:val="13"/>
                <w:b w:val="1"/>
                <w:bCs w:val="1"/>
                <w:color w:val="auto"/>
                <w:w w:val="94"/>
              </w:rPr>
              <w:t>+852 3740-4700</w:t>
            </w:r>
          </w:p>
        </w:tc>
        <w:tc>
          <w:tcPr>
            <w:tcW w:w="2840" w:type="dxa"/>
            <w:vAlign w:val="bottom"/>
            <w:vMerge w:val="continue"/>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980" w:type="dxa"/>
            <w:vAlign w:val="bottom"/>
            <w:vMerge w:val="continue"/>
          </w:tcPr>
          <w:p>
            <w:pPr>
              <w:spacing w:after="0"/>
              <w:rPr>
                <w:sz w:val="10"/>
                <w:szCs w:val="10"/>
                <w:color w:val="auto"/>
              </w:rPr>
            </w:pPr>
          </w:p>
        </w:tc>
        <w:tc>
          <w:tcPr>
            <w:tcW w:w="2840" w:type="dxa"/>
            <w:vAlign w:val="bottom"/>
          </w:tcPr>
          <w:p>
            <w:pPr>
              <w:spacing w:after="0"/>
              <w:rPr>
                <w:sz w:val="10"/>
                <w:szCs w:val="10"/>
                <w:color w:val="auto"/>
              </w:rPr>
            </w:pPr>
          </w:p>
        </w:tc>
        <w:tc>
          <w:tcPr>
            <w:tcW w:w="3100" w:type="dxa"/>
            <w:vAlign w:val="bottom"/>
            <w:vMerge w:val="restart"/>
          </w:tcPr>
          <w:p>
            <w:pPr>
              <w:jc w:val="center"/>
              <w:ind w:left="253"/>
              <w:spacing w:after="0"/>
              <w:rPr>
                <w:sz w:val="20"/>
                <w:szCs w:val="20"/>
                <w:color w:val="auto"/>
              </w:rPr>
            </w:pPr>
            <w:r>
              <w:rPr>
                <w:rFonts w:ascii="Arial" w:cs="Arial" w:eastAsia="Arial" w:hAnsi="Arial"/>
                <w:sz w:val="13"/>
                <w:szCs w:val="13"/>
                <w:b w:val="1"/>
                <w:bCs w:val="1"/>
                <w:color w:val="auto"/>
                <w:w w:val="94"/>
              </w:rPr>
              <w:t>+852 3761-3300</w:t>
            </w: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284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spacing w:after="0" w:line="217" w:lineRule="exact"/>
        <w:rPr>
          <w:sz w:val="24"/>
          <w:szCs w:val="24"/>
          <w:color w:val="auto"/>
        </w:rPr>
      </w:pPr>
    </w:p>
    <w:p>
      <w:pPr>
        <w:ind w:left="380"/>
        <w:spacing w:after="0"/>
        <w:tabs>
          <w:tab w:leader="none" w:pos="1040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60" w:firstLine="371"/>
        <w:spacing w:after="0" w:line="274"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right="460" w:firstLine="371"/>
        <w:spacing w:after="0" w:line="274"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right="460" w:firstLine="371"/>
        <w:spacing w:after="0" w:line="274"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left="38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190" w:lineRule="exact"/>
        <w:rPr>
          <w:sz w:val="24"/>
          <w:szCs w:val="24"/>
          <w:color w:val="auto"/>
        </w:rPr>
      </w:pPr>
    </w:p>
    <w:p>
      <w:pPr>
        <w:ind w:left="96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52" w:lineRule="exact"/>
        <w:rPr>
          <w:sz w:val="24"/>
          <w:szCs w:val="24"/>
          <w:color w:val="auto"/>
        </w:rPr>
      </w:pPr>
    </w:p>
    <w:p>
      <w:pPr>
        <w:ind w:right="200" w:firstLine="371"/>
        <w:spacing w:after="0" w:line="271" w:lineRule="auto"/>
        <w:rPr>
          <w:sz w:val="20"/>
          <w:szCs w:val="20"/>
          <w:color w:val="auto"/>
        </w:rPr>
      </w:pPr>
      <w:r>
        <w:rPr>
          <w:rFonts w:ascii="Arial" w:cs="Arial" w:eastAsia="Arial" w:hAnsi="Arial"/>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2"/>
          <w:szCs w:val="22"/>
          <w:color w:val="auto"/>
          <w:vertAlign w:val="superscript"/>
        </w:rPr>
        <w:t>†</w:t>
      </w:r>
      <w:r>
        <w:rPr>
          <w:rFonts w:ascii="Arial" w:cs="Arial" w:eastAsia="Arial" w:hAnsi="Arial"/>
          <w:sz w:val="13"/>
          <w:szCs w:val="13"/>
          <w:color w:val="auto"/>
        </w:rPr>
        <w:t xml:space="preserve"> provided pursuant to Section 7(a)(2)(B) of the Securities Act. o</w:t>
      </w:r>
    </w:p>
    <w:p>
      <w:pPr>
        <w:sectPr>
          <w:pgSz w:w="11900" w:h="16916" w:orient="portrait"/>
          <w:cols w:equalWidth="0" w:num="1">
            <w:col w:w="11240"/>
          </w:cols>
          <w:pgMar w:left="320" w:top="469" w:right="339" w:bottom="0" w:gutter="0" w:footer="0" w:header="0"/>
        </w:sectPr>
      </w:pPr>
    </w:p>
    <w:bookmarkStart w:id="1" w:name="page2"/>
    <w:bookmarkEnd w:id="1"/>
    <w:p>
      <w:pPr>
        <w:ind w:left="540" w:hanging="532"/>
        <w:spacing w:after="0"/>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0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8890"/>
                    </a:xfrm>
                    <a:prstGeom prst="rect">
                      <a:avLst/>
                    </a:prstGeom>
                    <a:noFill/>
                  </pic:spPr>
                </pic:pic>
              </a:graphicData>
            </a:graphic>
          </wp:anchor>
        </w:drawing>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150495</wp:posOffset>
            </wp:positionV>
            <wp:extent cx="1800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CALCULATION OF REGISTRATION FEE</w:t>
      </w:r>
    </w:p>
    <w:p>
      <w:pPr>
        <w:spacing w:after="0" w:line="200" w:lineRule="exact"/>
        <w:rPr>
          <w:sz w:val="20"/>
          <w:szCs w:val="20"/>
          <w:color w:val="auto"/>
        </w:rPr>
      </w:pP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40"/>
        </w:trPr>
        <w:tc>
          <w:tcPr>
            <w:tcW w:w="31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r>
      <w:tr>
        <w:trPr>
          <w:trHeight w:val="116"/>
        </w:trPr>
        <w:tc>
          <w:tcPr>
            <w:tcW w:w="3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86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186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1720" w:type="dxa"/>
            <w:vAlign w:val="bottom"/>
          </w:tcPr>
          <w:p>
            <w:pPr>
              <w:spacing w:after="0"/>
              <w:rPr>
                <w:sz w:val="10"/>
                <w:szCs w:val="10"/>
                <w:color w:val="auto"/>
              </w:rPr>
            </w:pPr>
          </w:p>
        </w:tc>
      </w:tr>
      <w:tr>
        <w:trPr>
          <w:trHeight w:val="161"/>
        </w:trPr>
        <w:tc>
          <w:tcPr>
            <w:tcW w:w="3160" w:type="dxa"/>
            <w:vAlign w:val="bottom"/>
          </w:tcPr>
          <w:p>
            <w:pPr>
              <w:jc w:val="center"/>
              <w:spacing w:after="0"/>
              <w:rPr>
                <w:sz w:val="20"/>
                <w:szCs w:val="20"/>
                <w:color w:val="auto"/>
              </w:rPr>
            </w:pPr>
            <w:r>
              <w:rPr>
                <w:rFonts w:ascii="Arial" w:cs="Arial" w:eastAsia="Arial" w:hAnsi="Arial"/>
                <w:sz w:val="13"/>
                <w:szCs w:val="13"/>
                <w:b w:val="1"/>
                <w:bCs w:val="1"/>
                <w:color w:val="auto"/>
                <w:w w:val="92"/>
              </w:rPr>
              <w:t>Title of Each Class of Securities</w:t>
            </w:r>
          </w:p>
        </w:tc>
        <w:tc>
          <w:tcPr>
            <w:tcW w:w="1880" w:type="dxa"/>
            <w:vAlign w:val="bottom"/>
          </w:tcPr>
          <w:p>
            <w:pPr>
              <w:jc w:val="center"/>
              <w:ind w:left="33"/>
              <w:spacing w:after="0"/>
              <w:rPr>
                <w:sz w:val="20"/>
                <w:szCs w:val="20"/>
                <w:color w:val="auto"/>
              </w:rPr>
            </w:pPr>
            <w:r>
              <w:rPr>
                <w:rFonts w:ascii="Arial" w:cs="Arial" w:eastAsia="Arial" w:hAnsi="Arial"/>
                <w:sz w:val="13"/>
                <w:szCs w:val="13"/>
                <w:b w:val="1"/>
                <w:bCs w:val="1"/>
                <w:color w:val="auto"/>
                <w:w w:val="95"/>
              </w:rPr>
              <w:t>Amount to</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7"/>
              </w:rPr>
              <w:t>Offering Price</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4"/>
              </w:rPr>
              <w:t>Aggregate Offering</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5"/>
              </w:rPr>
              <w:t>Amount of</w:t>
            </w:r>
          </w:p>
        </w:tc>
      </w:tr>
      <w:tr>
        <w:trPr>
          <w:trHeight w:val="203"/>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to Be Registered</w:t>
            </w:r>
          </w:p>
        </w:tc>
        <w:tc>
          <w:tcPr>
            <w:tcW w:w="1880" w:type="dxa"/>
            <w:vAlign w:val="bottom"/>
            <w:tcBorders>
              <w:bottom w:val="single" w:sz="8" w:color="auto"/>
            </w:tcBorders>
          </w:tcPr>
          <w:p>
            <w:pPr>
              <w:jc w:val="center"/>
              <w:ind w:left="33"/>
              <w:spacing w:after="0" w:line="203" w:lineRule="exact"/>
              <w:rPr>
                <w:sz w:val="20"/>
                <w:szCs w:val="20"/>
                <w:color w:val="auto"/>
              </w:rPr>
            </w:pPr>
            <w:r>
              <w:rPr>
                <w:rFonts w:ascii="Arial" w:cs="Arial" w:eastAsia="Arial" w:hAnsi="Arial"/>
                <w:sz w:val="13"/>
                <w:szCs w:val="13"/>
                <w:b w:val="1"/>
                <w:bCs w:val="1"/>
                <w:color w:val="auto"/>
                <w:w w:val="85"/>
              </w:rPr>
              <w:t>Be Registered</w:t>
            </w:r>
            <w:r>
              <w:rPr>
                <w:rFonts w:ascii="Arial" w:cs="Arial" w:eastAsia="Arial" w:hAnsi="Arial"/>
                <w:sz w:val="22"/>
                <w:szCs w:val="22"/>
                <w:b w:val="1"/>
                <w:bCs w:val="1"/>
                <w:color w:val="auto"/>
                <w:w w:val="85"/>
                <w:vertAlign w:val="superscript"/>
              </w:rPr>
              <w:t>(2)(3)</w:t>
            </w:r>
          </w:p>
        </w:tc>
        <w:tc>
          <w:tcPr>
            <w:tcW w:w="18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3"/>
                <w:szCs w:val="13"/>
                <w:b w:val="1"/>
                <w:bCs w:val="1"/>
                <w:color w:val="auto"/>
                <w:w w:val="91"/>
              </w:rPr>
              <w:t>Per Share</w:t>
            </w:r>
            <w:r>
              <w:rPr>
                <w:rFonts w:ascii="Arial" w:cs="Arial" w:eastAsia="Arial" w:hAnsi="Arial"/>
                <w:sz w:val="22"/>
                <w:szCs w:val="22"/>
                <w:b w:val="1"/>
                <w:bCs w:val="1"/>
                <w:color w:val="auto"/>
                <w:w w:val="91"/>
                <w:vertAlign w:val="superscript"/>
              </w:rPr>
              <w:t>(3)</w:t>
            </w:r>
          </w:p>
        </w:tc>
        <w:tc>
          <w:tcPr>
            <w:tcW w:w="18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0"/>
                <w:vertAlign w:val="subscript"/>
              </w:rPr>
              <w:t>Price</w:t>
            </w:r>
            <w:r>
              <w:rPr>
                <w:rFonts w:ascii="Arial" w:cs="Arial" w:eastAsia="Arial" w:hAnsi="Arial"/>
                <w:sz w:val="10"/>
                <w:szCs w:val="10"/>
                <w:b w:val="1"/>
                <w:bCs w:val="1"/>
                <w:color w:val="auto"/>
                <w:w w:val="90"/>
              </w:rPr>
              <w:t>(2)(3)</w:t>
            </w:r>
          </w:p>
        </w:tc>
        <w:tc>
          <w:tcPr>
            <w:tcW w:w="1720" w:type="dxa"/>
            <w:vAlign w:val="bottom"/>
            <w:tcBorders>
              <w:bottom w:val="single" w:sz="8" w:color="auto"/>
            </w:tcBorders>
          </w:tcPr>
          <w:p>
            <w:pPr>
              <w:jc w:val="center"/>
              <w:ind w:left="13"/>
              <w:spacing w:after="0" w:line="203" w:lineRule="exact"/>
              <w:rPr>
                <w:sz w:val="20"/>
                <w:szCs w:val="20"/>
                <w:color w:val="auto"/>
              </w:rPr>
            </w:pPr>
            <w:r>
              <w:rPr>
                <w:rFonts w:ascii="Arial" w:cs="Arial" w:eastAsia="Arial" w:hAnsi="Arial"/>
                <w:sz w:val="13"/>
                <w:szCs w:val="13"/>
                <w:b w:val="1"/>
                <w:bCs w:val="1"/>
                <w:color w:val="auto"/>
                <w:w w:val="90"/>
              </w:rPr>
              <w:t>Registration Fee</w:t>
            </w:r>
            <w:r>
              <w:rPr>
                <w:rFonts w:ascii="Arial" w:cs="Arial" w:eastAsia="Arial" w:hAnsi="Arial"/>
                <w:sz w:val="22"/>
                <w:szCs w:val="22"/>
                <w:b w:val="1"/>
                <w:bCs w:val="1"/>
                <w:color w:val="auto"/>
                <w:w w:val="90"/>
                <w:vertAlign w:val="superscript"/>
              </w:rPr>
              <w:t>(4)</w:t>
            </w:r>
          </w:p>
        </w:tc>
      </w:tr>
      <w:tr>
        <w:trPr>
          <w:trHeight w:val="126"/>
        </w:trPr>
        <w:tc>
          <w:tcPr>
            <w:tcW w:w="3160" w:type="dxa"/>
            <w:vAlign w:val="bottom"/>
          </w:tcPr>
          <w:p>
            <w:pPr>
              <w:spacing w:after="0" w:line="126" w:lineRule="exact"/>
              <w:rPr>
                <w:sz w:val="20"/>
                <w:szCs w:val="20"/>
                <w:color w:val="auto"/>
              </w:rPr>
            </w:pPr>
            <w:r>
              <w:rPr>
                <w:rFonts w:ascii="Arial" w:cs="Arial" w:eastAsia="Arial" w:hAnsi="Arial"/>
                <w:sz w:val="13"/>
                <w:szCs w:val="13"/>
                <w:color w:val="auto"/>
              </w:rPr>
              <w:t>Class A ordinary shares, par value US$0.0001 per</w:t>
            </w:r>
          </w:p>
        </w:tc>
        <w:tc>
          <w:tcPr>
            <w:tcW w:w="18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18"/>
        </w:trPr>
        <w:tc>
          <w:tcPr>
            <w:tcW w:w="3160" w:type="dxa"/>
            <w:vAlign w:val="bottom"/>
            <w:tcBorders>
              <w:bottom w:val="single" w:sz="8" w:color="auto"/>
            </w:tcBorders>
          </w:tcPr>
          <w:p>
            <w:pPr>
              <w:ind w:left="60"/>
              <w:spacing w:after="0" w:line="219" w:lineRule="exact"/>
              <w:rPr>
                <w:sz w:val="20"/>
                <w:szCs w:val="20"/>
                <w:color w:val="auto"/>
              </w:rPr>
            </w:pPr>
            <w:r>
              <w:rPr>
                <w:rFonts w:ascii="Arial" w:cs="Arial" w:eastAsia="Arial" w:hAnsi="Arial"/>
                <w:sz w:val="13"/>
                <w:szCs w:val="13"/>
                <w:color w:val="auto"/>
              </w:rPr>
              <w:t>share</w:t>
            </w:r>
            <w:r>
              <w:rPr>
                <w:rFonts w:ascii="Arial" w:cs="Arial" w:eastAsia="Arial" w:hAnsi="Arial"/>
                <w:sz w:val="22"/>
                <w:szCs w:val="22"/>
                <w:color w:val="auto"/>
                <w:vertAlign w:val="superscript"/>
              </w:rPr>
              <w:t>(1)</w:t>
            </w:r>
          </w:p>
        </w:tc>
        <w:tc>
          <w:tcPr>
            <w:tcW w:w="18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1"/>
              </w:rPr>
              <w:t>218,500,000</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US$5.00</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US$1,092,500,000</w:t>
            </w:r>
          </w:p>
        </w:tc>
        <w:tc>
          <w:tcPr>
            <w:tcW w:w="172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w w:val="92"/>
              </w:rPr>
              <w:t>US$141,806.50</w:t>
            </w: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right="20" w:hanging="532"/>
        <w:spacing w:after="0" w:line="274" w:lineRule="auto"/>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American depositary shares issuable upon deposit of Class A ordinary shares registered hereby will be registered under a separate registration statement on Form F-6 (Registration No. 333-240079). Each American depositary share represents two Class A ordinary shares.</w:t>
      </w:r>
    </w:p>
    <w:p>
      <w:pPr>
        <w:spacing w:after="0" w:line="90" w:lineRule="exact"/>
        <w:rPr>
          <w:rFonts w:ascii="Arial" w:cs="Arial" w:eastAsia="Arial" w:hAnsi="Arial"/>
          <w:sz w:val="13"/>
          <w:szCs w:val="13"/>
          <w:color w:val="auto"/>
        </w:rPr>
      </w:pPr>
    </w:p>
    <w:p>
      <w:pPr>
        <w:ind w:left="540" w:hanging="532"/>
        <w:spacing w:after="0" w:line="288" w:lineRule="auto"/>
        <w:tabs>
          <w:tab w:leader="none" w:pos="54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Includes Class A ordinary shares that are issuable upon the exercise of the underwriters' option to purchase additional ADSs. Also 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 of sales outside the United States.</w:t>
      </w:r>
    </w:p>
    <w:p>
      <w:pPr>
        <w:spacing w:after="0" w:line="83" w:lineRule="exact"/>
        <w:rPr>
          <w:rFonts w:ascii="Arial" w:cs="Arial" w:eastAsia="Arial" w:hAnsi="Arial"/>
          <w:sz w:val="12"/>
          <w:szCs w:val="12"/>
          <w:color w:val="auto"/>
        </w:rPr>
      </w:pPr>
    </w:p>
    <w:p>
      <w:pPr>
        <w:ind w:left="540" w:hanging="532"/>
        <w:spacing w:after="0"/>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457(a) under the Securities Act of 1933, as amended.</w:t>
      </w:r>
    </w:p>
    <w:p>
      <w:pPr>
        <w:spacing w:after="0" w:line="134" w:lineRule="exact"/>
        <w:rPr>
          <w:rFonts w:ascii="Arial" w:cs="Arial" w:eastAsia="Arial" w:hAnsi="Arial"/>
          <w:sz w:val="13"/>
          <w:szCs w:val="13"/>
          <w:color w:val="auto"/>
        </w:rPr>
      </w:pPr>
    </w:p>
    <w:p>
      <w:pPr>
        <w:ind w:left="540" w:hanging="532"/>
        <w:spacing w:after="0"/>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13" w:lineRule="exact"/>
        <w:rPr>
          <w:sz w:val="20"/>
          <w:szCs w:val="20"/>
          <w:color w:val="auto"/>
        </w:rPr>
      </w:pPr>
    </w:p>
    <w:p>
      <w:pPr>
        <w:jc w:val="both"/>
        <w:ind w:right="460" w:firstLine="371"/>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files a further amendment which specifically states that this Registration Statement will thereafter become effective in accordance with Section 8(a) of the Securities Act of 1933 or until the Registration Statement becomes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471170</wp:posOffset>
            </wp:positionV>
            <wp:extent cx="71361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345"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Amendment No. 2 is being filed solely for the purpose of filing an exhibit to this registration statement on Form F-1, or the Registration Statement, to update the filing status of such exhibit in Part II of the Registration Statement, and to amend and restate the exhibit index set forth in Part II of the Registration Statement. No changes have been made to the Registration Statement other than this explanatory note as well as revised versions of the cover page, filing status of such exhibit, and exhibit index of the Registration Statement. This Amendment No. 2 does not contain copies of the prospectus included in the Registration Statement, which remains unchanged from Amendment No. 1 to the Registration Statement, filed on July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94"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The post-offering amended and restated articles of association that we expect to adopt to become effective immediately prior to the completion of this offering provide for indemnification of our directors and officers, and their personal representatives, against all actions, proceedings, costs, charges, expenses, losses, damages or liabilities incurred or sustained by such persons,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spacing w:after="0" w:line="20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Pursuant to the indemnification agreements the form of which is filed as Exhibit 10.3 to this registration statement, we agree to indemnify our directors and executive officers against certain liabilities and expenses incurred by such persons in connection with claims made by reason of their being such a director or officer.</w:t>
      </w:r>
    </w:p>
    <w:p>
      <w:pPr>
        <w:spacing w:after="0" w:line="194"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The underwriting agreement, the form of which is filed as Exhibit 1.1 to this registration statement, will also provide for indemnification by the underwriters of us and our officers and directors for certain liabilities, including liabilities arising under the Securities Act, but only to the extent that such liabilities are caused by information relating to the underwriters furnished to us in writing expressly for use in this registration statement and certain other disclosure documents.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RECENT SALES OF UNREGISTERED SECURITIES.</w:t>
      </w:r>
    </w:p>
    <w:p>
      <w:pPr>
        <w:spacing w:after="0" w:line="231"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5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Date of Sale or</w:t>
            </w: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61"/>
        </w:trPr>
        <w:tc>
          <w:tcPr>
            <w:tcW w:w="3560" w:type="dxa"/>
            <w:vAlign w:val="bottom"/>
            <w:gridSpan w:val="2"/>
          </w:tcPr>
          <w:p>
            <w:pPr>
              <w:ind w:left="20"/>
              <w:spacing w:after="0"/>
              <w:rPr>
                <w:sz w:val="20"/>
                <w:szCs w:val="20"/>
                <w:color w:val="auto"/>
              </w:rPr>
            </w:pPr>
            <w:r>
              <w:rPr>
                <w:rFonts w:ascii="Arial" w:cs="Arial" w:eastAsia="Arial" w:hAnsi="Arial"/>
                <w:sz w:val="13"/>
                <w:szCs w:val="13"/>
                <w:b w:val="1"/>
                <w:bCs w:val="1"/>
                <w:color w:val="auto"/>
              </w:rPr>
              <w:t>Securities/Purchaser</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9"/>
              </w:rPr>
              <w:t>Issuance</w:t>
            </w:r>
          </w:p>
        </w:tc>
        <w:tc>
          <w:tcPr>
            <w:tcW w:w="120" w:type="dxa"/>
            <w:vAlign w:val="bottom"/>
          </w:tcPr>
          <w:p>
            <w:pPr>
              <w:spacing w:after="0"/>
              <w:rPr>
                <w:sz w:val="14"/>
                <w:szCs w:val="14"/>
                <w:color w:val="auto"/>
              </w:rPr>
            </w:pPr>
          </w:p>
        </w:tc>
        <w:tc>
          <w:tcPr>
            <w:tcW w:w="2160" w:type="dxa"/>
            <w:vAlign w:val="bottom"/>
          </w:tcPr>
          <w:p>
            <w:pPr>
              <w:ind w:left="460"/>
              <w:spacing w:after="0"/>
              <w:rPr>
                <w:sz w:val="20"/>
                <w:szCs w:val="20"/>
                <w:color w:val="auto"/>
              </w:rPr>
            </w:pPr>
            <w:r>
              <w:rPr>
                <w:rFonts w:ascii="Arial" w:cs="Arial" w:eastAsia="Arial" w:hAnsi="Arial"/>
                <w:sz w:val="13"/>
                <w:szCs w:val="13"/>
                <w:b w:val="1"/>
                <w:bCs w:val="1"/>
                <w:color w:val="auto"/>
              </w:rPr>
              <w:t>Number of Securities</w:t>
            </w: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3"/>
              </w:rPr>
              <w:t>Consideration</w:t>
            </w:r>
          </w:p>
        </w:tc>
      </w:tr>
      <w:tr>
        <w:trPr>
          <w:trHeight w:val="201"/>
        </w:trPr>
        <w:tc>
          <w:tcPr>
            <w:tcW w:w="12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79"/>
              </w:rPr>
              <w:t>Class A Ordinary</w:t>
            </w:r>
          </w:p>
        </w:tc>
        <w:tc>
          <w:tcPr>
            <w:tcW w:w="2360" w:type="dxa"/>
            <w:vAlign w:val="bottom"/>
          </w:tcPr>
          <w:p>
            <w:pPr>
              <w:ind w:left="180"/>
              <w:spacing w:after="0" w:line="201" w:lineRule="exact"/>
              <w:rPr>
                <w:sz w:val="20"/>
                <w:szCs w:val="20"/>
                <w:color w:val="auto"/>
              </w:rPr>
            </w:pPr>
            <w:r>
              <w:rPr>
                <w:rFonts w:ascii="Arial" w:cs="Arial" w:eastAsia="Arial" w:hAnsi="Arial"/>
                <w:sz w:val="18"/>
                <w:szCs w:val="18"/>
                <w:b w:val="1"/>
                <w:bCs w:val="1"/>
                <w:color w:val="auto"/>
              </w:rPr>
              <w:t>Shares</w:t>
            </w: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r>
      <w:tr>
        <w:trPr>
          <w:trHeight w:val="222"/>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Da Gate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15,000,000</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US$1,500.00</w:t>
            </w:r>
          </w:p>
        </w:tc>
      </w:tr>
      <w:tr>
        <w:trPr>
          <w:trHeight w:val="426"/>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Class B Ordinary Shares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2"/>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Amp Lee Ltd.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240,000,000</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US$24,000.00</w:t>
            </w:r>
          </w:p>
        </w:tc>
      </w:tr>
      <w:tr>
        <w:trPr>
          <w:trHeight w:val="426"/>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Series Pre-A Preferred Shares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2"/>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Amp Lee Ltd.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10,000,000</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US$1,000.00</w:t>
            </w: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Date of Sale or</w:t>
            </w: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60" w:type="dxa"/>
            <w:vAlign w:val="bottom"/>
            <w:gridSpan w:val="2"/>
          </w:tcPr>
          <w:p>
            <w:pPr>
              <w:ind w:left="20"/>
              <w:spacing w:after="0"/>
              <w:rPr>
                <w:sz w:val="20"/>
                <w:szCs w:val="20"/>
                <w:color w:val="auto"/>
              </w:rPr>
            </w:pPr>
            <w:r>
              <w:rPr>
                <w:rFonts w:ascii="Arial" w:cs="Arial" w:eastAsia="Arial" w:hAnsi="Arial"/>
                <w:sz w:val="13"/>
                <w:szCs w:val="13"/>
                <w:b w:val="1"/>
                <w:bCs w:val="1"/>
                <w:color w:val="auto"/>
              </w:rPr>
              <w:t>Securities/Purchaser</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9"/>
              </w:rPr>
              <w:t>Issuance</w:t>
            </w:r>
          </w:p>
        </w:tc>
        <w:tc>
          <w:tcPr>
            <w:tcW w:w="120" w:type="dxa"/>
            <w:vAlign w:val="bottom"/>
          </w:tcPr>
          <w:p>
            <w:pPr>
              <w:spacing w:after="0"/>
              <w:rPr>
                <w:sz w:val="14"/>
                <w:szCs w:val="14"/>
                <w:color w:val="auto"/>
              </w:rPr>
            </w:pPr>
          </w:p>
        </w:tc>
        <w:tc>
          <w:tcPr>
            <w:tcW w:w="2160" w:type="dxa"/>
            <w:vAlign w:val="bottom"/>
          </w:tcPr>
          <w:p>
            <w:pPr>
              <w:ind w:left="460"/>
              <w:spacing w:after="0"/>
              <w:rPr>
                <w:sz w:val="20"/>
                <w:szCs w:val="20"/>
                <w:color w:val="auto"/>
              </w:rPr>
            </w:pPr>
            <w:r>
              <w:rPr>
                <w:rFonts w:ascii="Arial" w:cs="Arial" w:eastAsia="Arial" w:hAnsi="Arial"/>
                <w:sz w:val="13"/>
                <w:szCs w:val="13"/>
                <w:b w:val="1"/>
                <w:bCs w:val="1"/>
                <w:color w:val="auto"/>
              </w:rPr>
              <w:t>Number of Securities</w:t>
            </w: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3"/>
              </w:rPr>
              <w:t>Consideration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5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Sea Wave Overseas Limited</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85"/>
              </w:rPr>
              <w:t>June 14, 2019</w:t>
            </w:r>
          </w:p>
        </w:tc>
        <w:tc>
          <w:tcPr>
            <w:tcW w:w="120" w:type="dxa"/>
            <w:vAlign w:val="bottom"/>
            <w:vMerge w:val="continue"/>
          </w:tcPr>
          <w:p>
            <w:pPr>
              <w:spacing w:after="0"/>
              <w:rPr>
                <w:sz w:val="17"/>
                <w:szCs w:val="17"/>
                <w:color w:val="auto"/>
              </w:rPr>
            </w:pPr>
          </w:p>
        </w:tc>
        <w:tc>
          <w:tcPr>
            <w:tcW w:w="2160" w:type="dxa"/>
            <w:vAlign w:val="bottom"/>
          </w:tcPr>
          <w:p>
            <w:pPr>
              <w:jc w:val="center"/>
              <w:spacing w:after="0" w:line="201" w:lineRule="exact"/>
              <w:rPr>
                <w:sz w:val="20"/>
                <w:szCs w:val="20"/>
                <w:color w:val="auto"/>
              </w:rPr>
            </w:pPr>
            <w:r>
              <w:rPr>
                <w:rFonts w:ascii="Arial" w:cs="Arial" w:eastAsia="Arial" w:hAnsi="Arial"/>
                <w:sz w:val="18"/>
                <w:szCs w:val="18"/>
                <w:color w:val="auto"/>
                <w:w w:val="88"/>
              </w:rPr>
              <w:t>10,000,000</w:t>
            </w:r>
          </w:p>
        </w:tc>
        <w:tc>
          <w:tcPr>
            <w:tcW w:w="100" w:type="dxa"/>
            <w:vAlign w:val="bottom"/>
            <w:vMerge w:val="continue"/>
          </w:tcPr>
          <w:p>
            <w:pPr>
              <w:spacing w:after="0"/>
              <w:rPr>
                <w:sz w:val="17"/>
                <w:szCs w:val="17"/>
                <w:color w:val="auto"/>
              </w:rPr>
            </w:pPr>
          </w:p>
        </w:tc>
        <w:tc>
          <w:tcPr>
            <w:tcW w:w="1740" w:type="dxa"/>
            <w:vAlign w:val="bottom"/>
          </w:tcPr>
          <w:p>
            <w:pPr>
              <w:jc w:val="center"/>
              <w:spacing w:after="0" w:line="201" w:lineRule="exact"/>
              <w:rPr>
                <w:sz w:val="20"/>
                <w:szCs w:val="20"/>
                <w:color w:val="auto"/>
              </w:rPr>
            </w:pPr>
            <w:r>
              <w:rPr>
                <w:rFonts w:ascii="Arial" w:cs="Arial" w:eastAsia="Arial" w:hAnsi="Arial"/>
                <w:sz w:val="18"/>
                <w:szCs w:val="18"/>
                <w:color w:val="auto"/>
                <w:w w:val="89"/>
              </w:rPr>
              <w:t>US$1,000.00</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Rainbow Six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7,500,000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US$750.00</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Fresh Drive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7,500,000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US$750.00</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RUNNING GOAL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3,000,000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US$300.00</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Future Capital Discovery Fund 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3,000,000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US$300.00</w:t>
            </w:r>
          </w:p>
        </w:tc>
        <w:tc>
          <w:tcPr>
            <w:tcW w:w="0" w:type="dxa"/>
            <w:vAlign w:val="bottom"/>
          </w:tcPr>
          <w:p>
            <w:pPr>
              <w:spacing w:after="0"/>
              <w:rPr>
                <w:sz w:val="1"/>
                <w:szCs w:val="1"/>
                <w:color w:val="auto"/>
              </w:rPr>
            </w:pPr>
          </w:p>
        </w:tc>
      </w:tr>
      <w:tr>
        <w:trPr>
          <w:trHeight w:val="222"/>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Future Capital Discovery Fund II,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9,000,000</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US$900.00</w:t>
            </w:r>
          </w:p>
        </w:tc>
        <w:tc>
          <w:tcPr>
            <w:tcW w:w="0" w:type="dxa"/>
            <w:vAlign w:val="bottom"/>
          </w:tcPr>
          <w:p>
            <w:pPr>
              <w:spacing w:after="0"/>
              <w:rPr>
                <w:sz w:val="1"/>
                <w:szCs w:val="1"/>
                <w:color w:val="auto"/>
              </w:rPr>
            </w:pPr>
          </w:p>
        </w:tc>
      </w:tr>
      <w:tr>
        <w:trPr>
          <w:trHeight w:val="426"/>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Series A-1 Preferred Shares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Sea Wave Overseas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2,986,364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US$298.64</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Rainbow Six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3,650,000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US$365.00</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Angel Like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1,659,091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US$165.91</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ZHEJIANG LEO (HONGKONG)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58,068,182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US$5,806.82</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Rainbow Six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8,295,455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US$829.55</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ROYDSWELL NOBLE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1,659,091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US$165.91</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Ningbo Meihuamingshi</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1,659,091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Shanghai Huashenglingfei</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16,590,909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Jiaxing Zizhiyihao</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1,659,091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22"/>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Xiamen Yuanjia</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33,181,818</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426"/>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Series A-2 Preferred Shares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Angel Like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1,267,716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US$126.77</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Striver Holdings Ltd.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12,677,156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US$1,267.72</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Tianjin Lanchixinhe</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12,677,156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Shanghai Jingheng</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12,677,156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Ningbo Meishan Ximao</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34,228,322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Shanghai Huashenglingfei</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6,338,578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Ningbo Meishan Zhongka</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3,803,147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22"/>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Hangzhou Shangyijiacheng</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43,102,331</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426"/>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Series A-3 Preferred Shares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Amp Lee Ltd.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9,085,295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US$908.53</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Rainbow Six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10,775,583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US$1,077.56</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Light Room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1,690,287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US$169.03</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Wisdom Haoxin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1,056,430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US$105.64</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ZHEJIANG LEO (HONGKONG)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10,564,297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US$1,056.43</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Tianjin Lanchixinhe</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2,112,859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Shanghai Jingheng</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3,169,289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Ningbo Meishan Hongzhan</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4,225,719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Jiaxing Zizhiyihao</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2,112,859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Xiamen Yuanjia</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2,746,717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Shenzhen Jiayuanqihang</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10,564,297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222"/>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Ningbo Meishan Zhongka</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7,395,008</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c>
          <w:tcPr>
            <w:tcW w:w="0" w:type="dxa"/>
            <w:vAlign w:val="bottom"/>
          </w:tcPr>
          <w:p>
            <w:pPr>
              <w:spacing w:after="0"/>
              <w:rPr>
                <w:sz w:val="1"/>
                <w:szCs w:val="1"/>
                <w:color w:val="auto"/>
              </w:rPr>
            </w:pPr>
          </w:p>
        </w:tc>
      </w:tr>
      <w:tr>
        <w:trPr>
          <w:trHeight w:val="426"/>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Series B-1 Preferred Shares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Amp Lee Ltd.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7,629,770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US$762.98</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Sea Wave Overseas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762,977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US$76.30</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Rainbow Six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15,259,540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US$1,525.95</w:t>
            </w:r>
          </w:p>
        </w:tc>
        <w:tc>
          <w:tcPr>
            <w:tcW w:w="0" w:type="dxa"/>
            <w:vAlign w:val="bottom"/>
          </w:tcPr>
          <w:p>
            <w:pPr>
              <w:spacing w:after="0"/>
              <w:rPr>
                <w:sz w:val="1"/>
                <w:szCs w:val="1"/>
                <w:color w:val="auto"/>
              </w:rPr>
            </w:pPr>
          </w:p>
        </w:tc>
      </w:tr>
      <w:tr>
        <w:trPr>
          <w:trHeight w:val="222"/>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Wisdom Haoxin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762,977</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US$76.30</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60"/>
          </w:cols>
          <w:pgMar w:left="1440" w:top="126" w:right="1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Date of Sale or</w:t>
            </w: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61"/>
        </w:trPr>
        <w:tc>
          <w:tcPr>
            <w:tcW w:w="3560" w:type="dxa"/>
            <w:vAlign w:val="bottom"/>
            <w:gridSpan w:val="2"/>
          </w:tcPr>
          <w:p>
            <w:pPr>
              <w:ind w:left="20"/>
              <w:spacing w:after="0"/>
              <w:rPr>
                <w:sz w:val="20"/>
                <w:szCs w:val="20"/>
                <w:color w:val="auto"/>
              </w:rPr>
            </w:pPr>
            <w:r>
              <w:rPr>
                <w:rFonts w:ascii="Arial" w:cs="Arial" w:eastAsia="Arial" w:hAnsi="Arial"/>
                <w:sz w:val="13"/>
                <w:szCs w:val="13"/>
                <w:b w:val="1"/>
                <w:bCs w:val="1"/>
                <w:color w:val="auto"/>
              </w:rPr>
              <w:t>Securities/Purchaser</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9"/>
              </w:rPr>
              <w:t>Issuance</w:t>
            </w:r>
          </w:p>
        </w:tc>
        <w:tc>
          <w:tcPr>
            <w:tcW w:w="120" w:type="dxa"/>
            <w:vAlign w:val="bottom"/>
          </w:tcPr>
          <w:p>
            <w:pPr>
              <w:spacing w:after="0"/>
              <w:rPr>
                <w:sz w:val="14"/>
                <w:szCs w:val="14"/>
                <w:color w:val="auto"/>
              </w:rPr>
            </w:pPr>
          </w:p>
        </w:tc>
        <w:tc>
          <w:tcPr>
            <w:tcW w:w="2160" w:type="dxa"/>
            <w:vAlign w:val="bottom"/>
          </w:tcPr>
          <w:p>
            <w:pPr>
              <w:ind w:left="460"/>
              <w:spacing w:after="0"/>
              <w:rPr>
                <w:sz w:val="20"/>
                <w:szCs w:val="20"/>
                <w:color w:val="auto"/>
              </w:rPr>
            </w:pPr>
            <w:r>
              <w:rPr>
                <w:rFonts w:ascii="Arial" w:cs="Arial" w:eastAsia="Arial" w:hAnsi="Arial"/>
                <w:sz w:val="13"/>
                <w:szCs w:val="13"/>
                <w:b w:val="1"/>
                <w:bCs w:val="1"/>
                <w:color w:val="auto"/>
              </w:rPr>
              <w:t>Number of Securities</w:t>
            </w: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3"/>
              </w:rPr>
              <w:t>Consideration</w:t>
            </w:r>
          </w:p>
        </w:tc>
      </w:tr>
      <w:tr>
        <w:trPr>
          <w:trHeight w:val="201"/>
        </w:trPr>
        <w:tc>
          <w:tcPr>
            <w:tcW w:w="12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83"/>
              </w:rPr>
              <w:t>Tembusu Limited</w:t>
            </w:r>
          </w:p>
        </w:tc>
        <w:tc>
          <w:tcPr>
            <w:tcW w:w="2360" w:type="dxa"/>
            <w:vAlign w:val="bottom"/>
          </w:tcPr>
          <w:p>
            <w:pPr>
              <w:spacing w:after="0"/>
              <w:rPr>
                <w:sz w:val="17"/>
                <w:szCs w:val="17"/>
                <w:color w:val="auto"/>
              </w:rPr>
            </w:pPr>
          </w:p>
        </w:tc>
        <w:tc>
          <w:tcPr>
            <w:tcW w:w="13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July 2, 2019</w:t>
            </w:r>
          </w:p>
        </w:tc>
        <w:tc>
          <w:tcPr>
            <w:tcW w:w="120" w:type="dxa"/>
            <w:vAlign w:val="bottom"/>
          </w:tcPr>
          <w:p>
            <w:pPr>
              <w:spacing w:after="0"/>
              <w:rPr>
                <w:sz w:val="17"/>
                <w:szCs w:val="17"/>
                <w:color w:val="auto"/>
              </w:rPr>
            </w:pPr>
          </w:p>
        </w:tc>
        <w:tc>
          <w:tcPr>
            <w:tcW w:w="2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3,051,908</w:t>
            </w:r>
          </w:p>
        </w:tc>
        <w:tc>
          <w:tcPr>
            <w:tcW w:w="100" w:type="dxa"/>
            <w:vAlign w:val="bottom"/>
          </w:tcPr>
          <w:p>
            <w:pPr>
              <w:spacing w:after="0"/>
              <w:rPr>
                <w:sz w:val="17"/>
                <w:szCs w:val="17"/>
                <w:color w:val="auto"/>
              </w:rPr>
            </w:pPr>
          </w:p>
        </w:tc>
        <w:tc>
          <w:tcPr>
            <w:tcW w:w="17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US$305.19</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GZ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9,918,701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US$991.87</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EAST JUMP MANAGEMENT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11,444,655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US$1,144.47</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Future Capital Discovery Fund II,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381,488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US$38.15</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Jiaxing Fanhe</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3,814,885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US$381.49</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Tianjin Lanchixinhe</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3,051,908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Ningbo Meishan Shanxingshiji</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5,340,839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Hubei Meihuashengshi</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1,144,465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Xiamen Xinweidachuang</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30,519,080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Hangzhou Yixing</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3,814,885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Beijing Qingmiaozhuang</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6,103,816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Jiaxing Zizhiyihao</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762,977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Xiamen Yuanjia</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7,629,770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China TH Capital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3,814,885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22"/>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Xiamen Xinweidachuang</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January 23, 2020</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3,051,908</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426"/>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Series B-2 Preferred Shares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Amp Lee Ltd.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13,820,511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US$1,382.05</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Rainbow Six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7,063,895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US$706.39</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Hybrid Innovation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84,767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US$8.48</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GZ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1,458,694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US$145.87</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Future Capital Discovery Fund II,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882,987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US$88.30</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Cango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7,063,895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US$706.39</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Ningbo Meishan Shanxingshiji</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706,390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Ningbo Meishan Hongzhan</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3,531,948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22"/>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Beijing Shouxin Jinyuan</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September 3,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21,191,686</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426"/>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Series B-3 Preferred Shares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Amp Lee Ltd.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21,191,686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US$2,119.17</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Rainbow Six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7,063,895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US$706.39</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Angel Like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1,412,779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US$141.28</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Striver Holdings Ltd.</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June 14,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10,595,843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US$1,059.58</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Cango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14,127,791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US$1,412.78</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Future Capital Discovery Fund II,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1,199,820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US$120.0 plus</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conversion of</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convertible promissory</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notes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Future Capital Discovery Fund 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719,892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US$72.0 plus</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conversion of</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convertible promissory</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notes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BRV Aster Fund II,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4,729,772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US$473.0 plus</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conversion of</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convertible promissory</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notes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BRV Aster Opportunity Fund 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3,783,818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US$378.4 plus</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conversion of</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convertible promissory</w:t>
            </w:r>
          </w:p>
        </w:tc>
      </w:tr>
      <w:tr>
        <w:trPr>
          <w:trHeight w:val="222"/>
        </w:trPr>
        <w:tc>
          <w:tcPr>
            <w:tcW w:w="12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notes</w:t>
            </w:r>
          </w:p>
        </w:tc>
      </w:tr>
    </w:tbl>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60"/>
          </w:cols>
          <w:pgMar w:left="1440" w:top="126" w:right="1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Date of Sale or</w:t>
            </w: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61"/>
        </w:trPr>
        <w:tc>
          <w:tcPr>
            <w:tcW w:w="3560" w:type="dxa"/>
            <w:vAlign w:val="bottom"/>
            <w:gridSpan w:val="2"/>
          </w:tcPr>
          <w:p>
            <w:pPr>
              <w:ind w:left="20"/>
              <w:spacing w:after="0"/>
              <w:rPr>
                <w:sz w:val="20"/>
                <w:szCs w:val="20"/>
                <w:color w:val="auto"/>
              </w:rPr>
            </w:pPr>
            <w:r>
              <w:rPr>
                <w:rFonts w:ascii="Arial" w:cs="Arial" w:eastAsia="Arial" w:hAnsi="Arial"/>
                <w:sz w:val="13"/>
                <w:szCs w:val="13"/>
                <w:b w:val="1"/>
                <w:bCs w:val="1"/>
                <w:color w:val="auto"/>
              </w:rPr>
              <w:t>Securities/Purchaser</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9"/>
              </w:rPr>
              <w:t>Issuance</w:t>
            </w:r>
          </w:p>
        </w:tc>
        <w:tc>
          <w:tcPr>
            <w:tcW w:w="120" w:type="dxa"/>
            <w:vAlign w:val="bottom"/>
          </w:tcPr>
          <w:p>
            <w:pPr>
              <w:spacing w:after="0"/>
              <w:rPr>
                <w:sz w:val="14"/>
                <w:szCs w:val="14"/>
                <w:color w:val="auto"/>
              </w:rPr>
            </w:pPr>
          </w:p>
        </w:tc>
        <w:tc>
          <w:tcPr>
            <w:tcW w:w="2160" w:type="dxa"/>
            <w:vAlign w:val="bottom"/>
          </w:tcPr>
          <w:p>
            <w:pPr>
              <w:ind w:left="460"/>
              <w:spacing w:after="0"/>
              <w:rPr>
                <w:sz w:val="20"/>
                <w:szCs w:val="20"/>
                <w:color w:val="auto"/>
              </w:rPr>
            </w:pPr>
            <w:r>
              <w:rPr>
                <w:rFonts w:ascii="Arial" w:cs="Arial" w:eastAsia="Arial" w:hAnsi="Arial"/>
                <w:sz w:val="13"/>
                <w:szCs w:val="13"/>
                <w:b w:val="1"/>
                <w:bCs w:val="1"/>
                <w:color w:val="auto"/>
              </w:rPr>
              <w:t>Number of Securities</w:t>
            </w: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3"/>
              </w:rPr>
              <w:t>Consideration</w:t>
            </w:r>
          </w:p>
        </w:tc>
      </w:tr>
      <w:tr>
        <w:trPr>
          <w:trHeight w:val="201"/>
        </w:trPr>
        <w:tc>
          <w:tcPr>
            <w:tcW w:w="12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85"/>
              </w:rPr>
              <w:t>Unicorn Partners</w:t>
            </w:r>
          </w:p>
        </w:tc>
        <w:tc>
          <w:tcPr>
            <w:tcW w:w="2360" w:type="dxa"/>
            <w:vAlign w:val="bottom"/>
          </w:tcPr>
          <w:p>
            <w:pPr>
              <w:ind w:left="40"/>
              <w:spacing w:after="0" w:line="201" w:lineRule="exact"/>
              <w:rPr>
                <w:sz w:val="20"/>
                <w:szCs w:val="20"/>
                <w:color w:val="auto"/>
              </w:rPr>
            </w:pPr>
            <w:r>
              <w:rPr>
                <w:rFonts w:ascii="Arial" w:cs="Arial" w:eastAsia="Arial" w:hAnsi="Arial"/>
                <w:sz w:val="18"/>
                <w:szCs w:val="18"/>
                <w:color w:val="auto"/>
              </w:rPr>
              <w:t>II Investments Limited</w:t>
            </w:r>
          </w:p>
        </w:tc>
        <w:tc>
          <w:tcPr>
            <w:tcW w:w="13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July 2, 2019</w:t>
            </w:r>
          </w:p>
        </w:tc>
        <w:tc>
          <w:tcPr>
            <w:tcW w:w="120" w:type="dxa"/>
            <w:vAlign w:val="bottom"/>
          </w:tcPr>
          <w:p>
            <w:pPr>
              <w:spacing w:after="0"/>
              <w:rPr>
                <w:sz w:val="17"/>
                <w:szCs w:val="17"/>
                <w:color w:val="auto"/>
              </w:rPr>
            </w:pPr>
          </w:p>
        </w:tc>
        <w:tc>
          <w:tcPr>
            <w:tcW w:w="2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1,439,784</w:t>
            </w:r>
          </w:p>
        </w:tc>
        <w:tc>
          <w:tcPr>
            <w:tcW w:w="100" w:type="dxa"/>
            <w:vAlign w:val="bottom"/>
          </w:tcPr>
          <w:p>
            <w:pPr>
              <w:spacing w:after="0"/>
              <w:rPr>
                <w:sz w:val="17"/>
                <w:szCs w:val="17"/>
                <w:color w:val="auto"/>
              </w:rPr>
            </w:pPr>
          </w:p>
        </w:tc>
        <w:tc>
          <w:tcPr>
            <w:tcW w:w="17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US$144.0 plus</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conversion of</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convertible promissory</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notes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Xiamen Xinweidachuang</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14,127,791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Jiaxing Zizhiyihao</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706,390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Qingdao Cheying</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3,531,948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Ningbo Tianshi Renhe</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14,127,791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Jilin Shougang Zhenxing</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September 3,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10,595,843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22"/>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Chengdu Shougang Silu</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September 3,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10,595,843</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426"/>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Series C Preferred Shares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Amp Lee Ltd.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39,377,750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US$80,000,000</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Zijin Global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105,115,219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US$234,100,000</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West Mountain Pond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898,037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US$2,000,000</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Lais Science and Technology Ltd.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1,302,154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US$2,900,000</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Raffles Fund SPC—GX Alternative SP</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1,347,055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US$3,000,000</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Bytedance (HK)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13,470,553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US$30,000,000</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Rainbow Six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21,357,922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US$45,000,000</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Angel Like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2,475,510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US$5,000,000</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Striver Holdings Ltd.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11,520,915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US$21,809,299</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Cango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15,774,736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US$30,000,000</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BRV Aster Fund II,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2,641,285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US$5,000,000</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Future Capital Discovery Fund 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1,056,514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US$2,000,000</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Unicorn Partners II Investments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July 2,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1,056,514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US$2,000,000</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Chemei Shanghai</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11,225,461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Xiamen Xinweidachuang</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7,680,610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Xingrui Capital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August 29,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3,264,259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Jilin Shougang Zhenxing</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September 3, 2019</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4,608,366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Xiamen Haisi</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January 3, 2020</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1,958,556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exercise of warrants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Lighthouse</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January 3, 2020</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2,150,571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US$215.1</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Amp Lee Ltd.</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January 23, 2020</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3,341,986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exercise of anti-dilution</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rights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Rainbow Six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January 23, 2020</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1,113,995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exercise of anti-dilution</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rights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Angel Like Limited</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January 23, 2020</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222,799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exercise of anti-dilution</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rights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Striver Holdings Ltd.</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January 23, 2020</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1,670,993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exercise of anti-dilution</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rights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Future Capital Discovery Fund II,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January 23, 2020</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189,215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exercise of anti-dilution</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rights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Future Capital Discovery Fund 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January 23, 2020</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113,529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exercise of anti-dilution</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rights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Cango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January 23, 2020</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2,227,991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exercise of anti-dilution</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rights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BRV Aster Fund II,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January 23, 2020</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745,898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exercise of anti-dilution</w:t>
            </w: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rights</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BRV Aster Opportunity Fund I, L.P.</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January 23, 2020</w:t>
            </w:r>
          </w:p>
        </w:tc>
        <w:tc>
          <w:tcPr>
            <w:tcW w:w="2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596,718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exercise of anti-dilution</w:t>
            </w:r>
          </w:p>
        </w:tc>
      </w:tr>
      <w:tr>
        <w:trPr>
          <w:trHeight w:val="222"/>
        </w:trPr>
        <w:tc>
          <w:tcPr>
            <w:tcW w:w="12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rights</w:t>
            </w:r>
          </w:p>
        </w:tc>
      </w:tr>
    </w:tbl>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60"/>
          </w:cols>
          <w:pgMar w:left="1440" w:top="126" w:right="1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Date of Sale or</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1"/>
        </w:trPr>
        <w:tc>
          <w:tcPr>
            <w:tcW w:w="1120" w:type="dxa"/>
            <w:vAlign w:val="bottom"/>
          </w:tcPr>
          <w:p>
            <w:pPr>
              <w:spacing w:after="0"/>
              <w:rPr>
                <w:sz w:val="14"/>
                <w:szCs w:val="14"/>
                <w:color w:val="auto"/>
              </w:rPr>
            </w:pPr>
          </w:p>
        </w:tc>
        <w:tc>
          <w:tcPr>
            <w:tcW w:w="3560" w:type="dxa"/>
            <w:vAlign w:val="bottom"/>
            <w:gridSpan w:val="2"/>
          </w:tcPr>
          <w:p>
            <w:pPr>
              <w:ind w:left="20"/>
              <w:spacing w:after="0"/>
              <w:rPr>
                <w:sz w:val="20"/>
                <w:szCs w:val="20"/>
                <w:color w:val="auto"/>
              </w:rPr>
            </w:pPr>
            <w:r>
              <w:rPr>
                <w:rFonts w:ascii="Arial" w:cs="Arial" w:eastAsia="Arial" w:hAnsi="Arial"/>
                <w:sz w:val="13"/>
                <w:szCs w:val="13"/>
                <w:b w:val="1"/>
                <w:bCs w:val="1"/>
                <w:color w:val="auto"/>
              </w:rPr>
              <w:t>Securities/Purchaser</w:t>
            </w: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Issuance</w:t>
            </w: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 Securities</w:t>
            </w:r>
          </w:p>
        </w:tc>
        <w:tc>
          <w:tcPr>
            <w:tcW w:w="100" w:type="dxa"/>
            <w:vAlign w:val="bottom"/>
          </w:tcPr>
          <w:p>
            <w:pPr>
              <w:spacing w:after="0"/>
              <w:rPr>
                <w:sz w:val="14"/>
                <w:szCs w:val="14"/>
                <w:color w:val="auto"/>
              </w:rPr>
            </w:pPr>
          </w:p>
        </w:tc>
        <w:tc>
          <w:tcPr>
            <w:tcW w:w="2800" w:type="dxa"/>
            <w:vAlign w:val="bottom"/>
            <w:gridSpan w:val="2"/>
          </w:tcPr>
          <w:p>
            <w:pPr>
              <w:jc w:val="center"/>
              <w:ind w:right="1060"/>
              <w:spacing w:after="0"/>
              <w:rPr>
                <w:sz w:val="20"/>
                <w:szCs w:val="20"/>
                <w:color w:val="auto"/>
              </w:rPr>
            </w:pPr>
            <w:r>
              <w:rPr>
                <w:rFonts w:ascii="Arial" w:cs="Arial" w:eastAsia="Arial" w:hAnsi="Arial"/>
                <w:sz w:val="13"/>
                <w:szCs w:val="13"/>
                <w:b w:val="1"/>
                <w:bCs w:val="1"/>
                <w:color w:val="auto"/>
                <w:w w:val="93"/>
              </w:rPr>
              <w:t>Consideration</w:t>
            </w:r>
          </w:p>
        </w:tc>
      </w:tr>
      <w:tr>
        <w:trPr>
          <w:trHeight w:val="201"/>
        </w:trPr>
        <w:tc>
          <w:tcPr>
            <w:tcW w:w="1120" w:type="dxa"/>
            <w:vAlign w:val="bottom"/>
          </w:tcPr>
          <w:p>
            <w:pPr>
              <w:spacing w:after="0"/>
              <w:rPr>
                <w:sz w:val="17"/>
                <w:szCs w:val="17"/>
                <w:color w:val="auto"/>
              </w:rPr>
            </w:pPr>
          </w:p>
        </w:tc>
        <w:tc>
          <w:tcPr>
            <w:tcW w:w="12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85"/>
              </w:rPr>
              <w:t>Unicorn Partners</w:t>
            </w:r>
          </w:p>
        </w:tc>
        <w:tc>
          <w:tcPr>
            <w:tcW w:w="2360" w:type="dxa"/>
            <w:vAlign w:val="bottom"/>
          </w:tcPr>
          <w:p>
            <w:pPr>
              <w:ind w:left="40"/>
              <w:spacing w:after="0" w:line="201" w:lineRule="exact"/>
              <w:rPr>
                <w:sz w:val="20"/>
                <w:szCs w:val="20"/>
                <w:color w:val="auto"/>
              </w:rPr>
            </w:pPr>
            <w:r>
              <w:rPr>
                <w:rFonts w:ascii="Arial" w:cs="Arial" w:eastAsia="Arial" w:hAnsi="Arial"/>
                <w:sz w:val="18"/>
                <w:szCs w:val="18"/>
                <w:color w:val="auto"/>
              </w:rPr>
              <w:t>II Investments Limited</w:t>
            </w:r>
          </w:p>
        </w:tc>
        <w:tc>
          <w:tcPr>
            <w:tcW w:w="13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January 23, 2020</w:t>
            </w:r>
          </w:p>
        </w:tc>
        <w:tc>
          <w:tcPr>
            <w:tcW w:w="120" w:type="dxa"/>
            <w:vAlign w:val="bottom"/>
          </w:tcPr>
          <w:p>
            <w:pPr>
              <w:spacing w:after="0"/>
              <w:rPr>
                <w:sz w:val="17"/>
                <w:szCs w:val="17"/>
                <w:color w:val="auto"/>
              </w:rPr>
            </w:pPr>
          </w:p>
        </w:tc>
        <w:tc>
          <w:tcPr>
            <w:tcW w:w="2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227,058</w:t>
            </w:r>
          </w:p>
        </w:tc>
        <w:tc>
          <w:tcPr>
            <w:tcW w:w="100" w:type="dxa"/>
            <w:vAlign w:val="bottom"/>
          </w:tcPr>
          <w:p>
            <w:pPr>
              <w:spacing w:after="0"/>
              <w:rPr>
                <w:sz w:val="17"/>
                <w:szCs w:val="17"/>
                <w:color w:val="auto"/>
              </w:rPr>
            </w:pPr>
          </w:p>
        </w:tc>
        <w:tc>
          <w:tcPr>
            <w:tcW w:w="17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exercise of anti-dilution</w:t>
            </w:r>
          </w:p>
        </w:tc>
        <w:tc>
          <w:tcPr>
            <w:tcW w:w="106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rights</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Jiaxing Zizhiyihao</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January 23, 2020</w:t>
            </w: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111,400</w:t>
            </w: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exercise of anti-dilution</w:t>
            </w: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rights</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Xiamen Xinweidachuang</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January 23, 2020</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2,227,991</w:t>
            </w: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exercise of anti-dilution</w:t>
            </w: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rights</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Qingdao Cheying</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January 23, 2020</w:t>
            </w: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556,998</w:t>
            </w: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exercise of anti-dilution</w:t>
            </w: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rights</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Ningbo Tianshi Renhe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January 23, 2020</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2,227,991</w:t>
            </w: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exercise of anti-dilution</w:t>
            </w: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rights</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Jilin Shougang Zhenxing</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January 23, 2020</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1,670,993</w:t>
            </w: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exercise of anti-dilution</w:t>
            </w: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rights</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Chengdu Shougang Silu</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January 23, 2020</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1,670,993</w:t>
            </w: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exercise of anti-dilution</w:t>
            </w:r>
          </w:p>
        </w:tc>
      </w:tr>
      <w:tr>
        <w:trPr>
          <w:trHeight w:val="222"/>
        </w:trPr>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rights</w:t>
            </w:r>
          </w:p>
        </w:tc>
      </w:tr>
      <w:tr>
        <w:trPr>
          <w:trHeight w:val="426"/>
        </w:trPr>
        <w:tc>
          <w:tcPr>
            <w:tcW w:w="1120" w:type="dxa"/>
            <w:vAlign w:val="bottom"/>
          </w:tcPr>
          <w:p>
            <w:pPr>
              <w:spacing w:after="0"/>
              <w:rPr>
                <w:sz w:val="24"/>
                <w:szCs w:val="24"/>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Series D Preferred Shares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Inspired Elite Investments Limited</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July 1, 2020</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212,816,737</w:t>
            </w:r>
          </w:p>
        </w:tc>
        <w:tc>
          <w:tcPr>
            <w:tcW w:w="100" w:type="dxa"/>
            <w:vAlign w:val="bottom"/>
          </w:tcPr>
          <w:p>
            <w:pPr>
              <w:spacing w:after="0"/>
              <w:rPr>
                <w:sz w:val="18"/>
                <w:szCs w:val="18"/>
                <w:color w:val="auto"/>
              </w:rPr>
            </w:pPr>
          </w:p>
        </w:tc>
        <w:tc>
          <w:tcPr>
            <w:tcW w:w="2800" w:type="dxa"/>
            <w:vAlign w:val="bottom"/>
            <w:gridSpan w:val="2"/>
          </w:tcPr>
          <w:p>
            <w:pPr>
              <w:jc w:val="center"/>
              <w:ind w:right="1060"/>
              <w:spacing w:after="0"/>
              <w:rPr>
                <w:sz w:val="20"/>
                <w:szCs w:val="20"/>
                <w:color w:val="auto"/>
              </w:rPr>
            </w:pPr>
            <w:r>
              <w:rPr>
                <w:rFonts w:ascii="Arial" w:cs="Arial" w:eastAsia="Arial" w:hAnsi="Arial"/>
                <w:sz w:val="18"/>
                <w:szCs w:val="18"/>
                <w:color w:val="auto"/>
                <w:w w:val="87"/>
              </w:rPr>
              <w:t>US$500,000,000</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Kevin Sunny Holding Limited</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July 1, 2020</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7,576,722</w:t>
            </w:r>
          </w:p>
        </w:tc>
        <w:tc>
          <w:tcPr>
            <w:tcW w:w="100" w:type="dxa"/>
            <w:vAlign w:val="bottom"/>
          </w:tcPr>
          <w:p>
            <w:pPr>
              <w:spacing w:after="0"/>
              <w:rPr>
                <w:sz w:val="18"/>
                <w:szCs w:val="18"/>
                <w:color w:val="auto"/>
              </w:rPr>
            </w:pPr>
          </w:p>
        </w:tc>
        <w:tc>
          <w:tcPr>
            <w:tcW w:w="2800" w:type="dxa"/>
            <w:vAlign w:val="bottom"/>
            <w:gridSpan w:val="2"/>
          </w:tcPr>
          <w:p>
            <w:pPr>
              <w:jc w:val="center"/>
              <w:ind w:right="1060"/>
              <w:spacing w:after="0"/>
              <w:rPr>
                <w:sz w:val="20"/>
                <w:szCs w:val="20"/>
                <w:color w:val="auto"/>
              </w:rPr>
            </w:pPr>
            <w:r>
              <w:rPr>
                <w:rFonts w:ascii="Arial" w:cs="Arial" w:eastAsia="Arial" w:hAnsi="Arial"/>
                <w:sz w:val="18"/>
                <w:szCs w:val="18"/>
                <w:color w:val="auto"/>
                <w:w w:val="87"/>
              </w:rPr>
              <w:t>US$20,000,000</w:t>
            </w:r>
          </w:p>
        </w:tc>
      </w:tr>
      <w:tr>
        <w:trPr>
          <w:trHeight w:val="222"/>
        </w:trPr>
        <w:tc>
          <w:tcPr>
            <w:tcW w:w="1120" w:type="dxa"/>
            <w:vAlign w:val="bottom"/>
          </w:tcPr>
          <w:p>
            <w:pPr>
              <w:spacing w:after="0"/>
              <w:rPr>
                <w:sz w:val="19"/>
                <w:szCs w:val="19"/>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Amp Lee Ltd.</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July 1, 2020</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11,365,082</w:t>
            </w:r>
          </w:p>
        </w:tc>
        <w:tc>
          <w:tcPr>
            <w:tcW w:w="100" w:type="dxa"/>
            <w:vAlign w:val="bottom"/>
          </w:tcPr>
          <w:p>
            <w:pPr>
              <w:spacing w:after="0"/>
              <w:rPr>
                <w:sz w:val="19"/>
                <w:szCs w:val="19"/>
                <w:color w:val="auto"/>
              </w:rPr>
            </w:pPr>
          </w:p>
        </w:tc>
        <w:tc>
          <w:tcPr>
            <w:tcW w:w="2800" w:type="dxa"/>
            <w:vAlign w:val="bottom"/>
            <w:gridSpan w:val="2"/>
          </w:tcPr>
          <w:p>
            <w:pPr>
              <w:jc w:val="center"/>
              <w:ind w:right="1060"/>
              <w:spacing w:after="0"/>
              <w:rPr>
                <w:sz w:val="20"/>
                <w:szCs w:val="20"/>
                <w:color w:val="auto"/>
              </w:rPr>
            </w:pPr>
            <w:r>
              <w:rPr>
                <w:rFonts w:ascii="Arial" w:cs="Arial" w:eastAsia="Arial" w:hAnsi="Arial"/>
                <w:sz w:val="18"/>
                <w:szCs w:val="18"/>
                <w:color w:val="auto"/>
                <w:w w:val="87"/>
              </w:rPr>
              <w:t>US$30,000,000</w:t>
            </w:r>
          </w:p>
        </w:tc>
      </w:tr>
      <w:tr>
        <w:trPr>
          <w:trHeight w:val="426"/>
        </w:trPr>
        <w:tc>
          <w:tcPr>
            <w:tcW w:w="1120" w:type="dxa"/>
            <w:vAlign w:val="bottom"/>
          </w:tcPr>
          <w:p>
            <w:pPr>
              <w:spacing w:after="0"/>
              <w:rPr>
                <w:sz w:val="24"/>
                <w:szCs w:val="24"/>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Convertible Promissory Notes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w w:val="98"/>
              </w:rPr>
              <w:t>Future Capital Discovery Fund I, L.P., Future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 and March,</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88"/>
              </w:rPr>
              <w:t>aggregated principal</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Capital Discovery Fund II, L.P., Unicorn</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89"/>
              </w:rPr>
              <w:t>amount of</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w w:val="98"/>
              </w:rPr>
              <w:t>Partners II Investments Limited, BRV Aster</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060"/>
              <w:spacing w:after="0"/>
              <w:rPr>
                <w:sz w:val="20"/>
                <w:szCs w:val="20"/>
                <w:color w:val="auto"/>
              </w:rPr>
            </w:pPr>
            <w:r>
              <w:rPr>
                <w:rFonts w:ascii="Arial" w:cs="Arial" w:eastAsia="Arial" w:hAnsi="Arial"/>
                <w:sz w:val="18"/>
                <w:szCs w:val="18"/>
                <w:color w:val="auto"/>
                <w:w w:val="87"/>
              </w:rPr>
              <w:t>US$25,000,000</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Opportunity Fund I, L.P., and BRV Aster</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Fund II, L.P.</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26"/>
        </w:trPr>
        <w:tc>
          <w:tcPr>
            <w:tcW w:w="1120" w:type="dxa"/>
            <w:vAlign w:val="bottom"/>
          </w:tcPr>
          <w:p>
            <w:pPr>
              <w:spacing w:after="0"/>
              <w:rPr>
                <w:sz w:val="24"/>
                <w:szCs w:val="24"/>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Warrants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Xiamen Yuanjia, Shanghai Huashenglingfei,</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July 2, 2019</w:t>
            </w:r>
          </w:p>
        </w:tc>
        <w:tc>
          <w:tcPr>
            <w:tcW w:w="2160" w:type="dxa"/>
            <w:vAlign w:val="bottom"/>
          </w:tcPr>
          <w:p>
            <w:pPr>
              <w:jc w:val="center"/>
              <w:spacing w:after="0"/>
              <w:rPr>
                <w:sz w:val="20"/>
                <w:szCs w:val="20"/>
                <w:color w:val="auto"/>
              </w:rPr>
            </w:pPr>
            <w:r>
              <w:rPr>
                <w:rFonts w:ascii="Arial" w:cs="Arial" w:eastAsia="Arial" w:hAnsi="Arial"/>
                <w:sz w:val="18"/>
                <w:szCs w:val="18"/>
                <w:color w:val="auto"/>
                <w:w w:val="85"/>
              </w:rPr>
              <w:t>Warrants to purchase an</w:t>
            </w:r>
          </w:p>
        </w:tc>
        <w:tc>
          <w:tcPr>
            <w:tcW w:w="100" w:type="dxa"/>
            <w:vAlign w:val="bottom"/>
          </w:tcPr>
          <w:p>
            <w:pPr>
              <w:spacing w:after="0"/>
              <w:rPr>
                <w:sz w:val="18"/>
                <w:szCs w:val="18"/>
                <w:color w:val="auto"/>
              </w:rPr>
            </w:pPr>
          </w:p>
        </w:tc>
        <w:tc>
          <w:tcPr>
            <w:tcW w:w="2800" w:type="dxa"/>
            <w:vAlign w:val="bottom"/>
            <w:gridSpan w:val="2"/>
          </w:tcPr>
          <w:p>
            <w:pPr>
              <w:jc w:val="center"/>
              <w:ind w:right="1060"/>
              <w:spacing w:after="0"/>
              <w:rPr>
                <w:sz w:val="20"/>
                <w:szCs w:val="20"/>
                <w:color w:val="auto"/>
              </w:rPr>
            </w:pPr>
            <w:r>
              <w:rPr>
                <w:rFonts w:ascii="Arial" w:cs="Arial" w:eastAsia="Arial" w:hAnsi="Arial"/>
                <w:sz w:val="18"/>
                <w:szCs w:val="18"/>
                <w:color w:val="auto"/>
                <w:w w:val="87"/>
              </w:rPr>
              <w:t>US$34,335.75 in</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w w:val="98"/>
              </w:rPr>
              <w:t>Jiaxing Zizhiyihao, Ningbo Meihuamingshi,</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aggregate of 53,090,909</w:t>
            </w:r>
          </w:p>
        </w:tc>
        <w:tc>
          <w:tcPr>
            <w:tcW w:w="100" w:type="dxa"/>
            <w:vAlign w:val="bottom"/>
          </w:tcPr>
          <w:p>
            <w:pPr>
              <w:spacing w:after="0"/>
              <w:rPr>
                <w:sz w:val="18"/>
                <w:szCs w:val="18"/>
                <w:color w:val="auto"/>
              </w:rPr>
            </w:pPr>
          </w:p>
        </w:tc>
        <w:tc>
          <w:tcPr>
            <w:tcW w:w="2800" w:type="dxa"/>
            <w:vAlign w:val="bottom"/>
            <w:gridSpan w:val="2"/>
          </w:tcPr>
          <w:p>
            <w:pPr>
              <w:jc w:val="center"/>
              <w:ind w:right="1040"/>
              <w:spacing w:after="0"/>
              <w:rPr>
                <w:sz w:val="20"/>
                <w:szCs w:val="20"/>
                <w:color w:val="auto"/>
              </w:rPr>
            </w:pPr>
            <w:r>
              <w:rPr>
                <w:rFonts w:ascii="Arial" w:cs="Arial" w:eastAsia="Arial" w:hAnsi="Arial"/>
                <w:sz w:val="18"/>
                <w:szCs w:val="18"/>
                <w:color w:val="auto"/>
                <w:w w:val="83"/>
              </w:rPr>
              <w:t>aggregate</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Hangzhou Shangyijiacheng, Tianjin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Series A-1 preferred shares,</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Lanchixinhe, Shanghai Jingheng, Ningbo</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112,826,690 Series A-2</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w w:val="97"/>
              </w:rPr>
              <w:t>Meishan Zhongka, Ningbo Meishan Ximao,</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preferred shares, 32,326,748</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Ningbo Meishan Hongzhan, Shenzhen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Series A-3 preferred shares,</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Jiayuanqihang, Xiamen Xinweidachuang,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65,997,510 Series B-1</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Ningbo Meishan Shanxingshiji, Jiaxing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preferred shares, 25,430,024</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Fanhe, Hangzhou Yixing, Beijing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Series B-2 preferred shares</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Qingmiaozhuang, Hubei Meihuashengshi,</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and 53,685,606 Series B-3</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w w:val="93"/>
              </w:rPr>
              <w:t>Beijing Shouxin Jinyuan, Chengdu Shougang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preferred shares. As of the</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w w:val="95"/>
              </w:rPr>
              <w:t>Silu, Jilin Shougang Zhenxing, Taiyi, Ningbo</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date of this prospectus, all</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Tianshi Renhe and Qingdao Cheying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warrants have been exercised</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in full.</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00" w:type="dxa"/>
            <w:vAlign w:val="bottom"/>
            <w:gridSpan w:val="2"/>
          </w:tcPr>
          <w:p>
            <w:pPr>
              <w:ind w:left="820"/>
              <w:spacing w:after="0"/>
              <w:rPr>
                <w:sz w:val="20"/>
                <w:szCs w:val="20"/>
                <w:color w:val="auto"/>
              </w:rPr>
            </w:pPr>
            <w:r>
              <w:rPr>
                <w:rFonts w:ascii="Arial" w:cs="Arial" w:eastAsia="Arial" w:hAnsi="Arial"/>
                <w:sz w:val="18"/>
                <w:szCs w:val="18"/>
                <w:color w:val="auto"/>
              </w:rPr>
              <w:t>II-5</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tbl>
      <w:tblPr>
        <w:tblLayout w:type="fixed"/>
        <w:tblInd w:w="112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Date of Sale or</w:t>
            </w: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60" w:type="dxa"/>
            <w:vAlign w:val="bottom"/>
            <w:gridSpan w:val="2"/>
          </w:tcPr>
          <w:p>
            <w:pPr>
              <w:ind w:left="20"/>
              <w:spacing w:after="0"/>
              <w:rPr>
                <w:sz w:val="20"/>
                <w:szCs w:val="20"/>
                <w:color w:val="auto"/>
              </w:rPr>
            </w:pPr>
            <w:r>
              <w:rPr>
                <w:rFonts w:ascii="Arial" w:cs="Arial" w:eastAsia="Arial" w:hAnsi="Arial"/>
                <w:sz w:val="13"/>
                <w:szCs w:val="13"/>
                <w:b w:val="1"/>
                <w:bCs w:val="1"/>
                <w:color w:val="auto"/>
              </w:rPr>
              <w:t>Securities/Purchaser</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9"/>
              </w:rPr>
              <w:t>Issuance</w:t>
            </w:r>
          </w:p>
        </w:tc>
        <w:tc>
          <w:tcPr>
            <w:tcW w:w="12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Number of Securities</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3"/>
              </w:rPr>
              <w:t>Consideration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5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5"/>
              </w:rPr>
              <w:t>Changsha Longzhu, Xiamen Xinweidachuang,</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88"/>
              </w:rPr>
              <w:t>July 2, 2019</w:t>
            </w:r>
          </w:p>
        </w:tc>
        <w:tc>
          <w:tcPr>
            <w:tcW w:w="120" w:type="dxa"/>
            <w:vAlign w:val="bottom"/>
            <w:vMerge w:val="continue"/>
          </w:tcPr>
          <w:p>
            <w:pPr>
              <w:spacing w:after="0"/>
              <w:rPr>
                <w:sz w:val="17"/>
                <w:szCs w:val="17"/>
                <w:color w:val="auto"/>
              </w:rPr>
            </w:pPr>
          </w:p>
        </w:tc>
        <w:tc>
          <w:tcPr>
            <w:tcW w:w="2160" w:type="dxa"/>
            <w:vAlign w:val="bottom"/>
          </w:tcPr>
          <w:p>
            <w:pPr>
              <w:jc w:val="center"/>
              <w:spacing w:after="0" w:line="201" w:lineRule="exact"/>
              <w:rPr>
                <w:sz w:val="20"/>
                <w:szCs w:val="20"/>
                <w:color w:val="auto"/>
              </w:rPr>
            </w:pPr>
            <w:r>
              <w:rPr>
                <w:rFonts w:ascii="Arial" w:cs="Arial" w:eastAsia="Arial" w:hAnsi="Arial"/>
                <w:sz w:val="18"/>
                <w:szCs w:val="18"/>
                <w:color w:val="auto"/>
                <w:w w:val="85"/>
              </w:rPr>
              <w:t>Warrants to purchase</w:t>
            </w:r>
          </w:p>
        </w:tc>
        <w:tc>
          <w:tcPr>
            <w:tcW w:w="100" w:type="dxa"/>
            <w:vAlign w:val="bottom"/>
            <w:vMerge w:val="continue"/>
          </w:tcPr>
          <w:p>
            <w:pPr>
              <w:spacing w:after="0"/>
              <w:rPr>
                <w:sz w:val="17"/>
                <w:szCs w:val="17"/>
                <w:color w:val="auto"/>
              </w:rPr>
            </w:pPr>
          </w:p>
        </w:tc>
        <w:tc>
          <w:tcPr>
            <w:tcW w:w="1740" w:type="dxa"/>
            <w:vAlign w:val="bottom"/>
          </w:tcPr>
          <w:p>
            <w:pPr>
              <w:jc w:val="center"/>
              <w:spacing w:after="0" w:line="201" w:lineRule="exact"/>
              <w:rPr>
                <w:sz w:val="20"/>
                <w:szCs w:val="20"/>
                <w:color w:val="auto"/>
              </w:rPr>
            </w:pPr>
            <w:r>
              <w:rPr>
                <w:rFonts w:ascii="Arial" w:cs="Arial" w:eastAsia="Arial" w:hAnsi="Arial"/>
                <w:sz w:val="18"/>
                <w:szCs w:val="18"/>
                <w:color w:val="auto"/>
                <w:w w:val="88"/>
              </w:rPr>
              <w:t>US$67,164,645 in</w:t>
            </w: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color w:val="auto"/>
                <w:w w:val="96"/>
              </w:rPr>
              <w:t>Jilin Shougang Zhenxing, Jiaxing Yingyuan,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32,577,557 Series C preferred</w:t>
            </w:r>
          </w:p>
        </w:tc>
        <w:tc>
          <w:tcPr>
            <w:tcW w:w="1740" w:type="dxa"/>
            <w:vAlign w:val="bottom"/>
          </w:tcPr>
          <w:p>
            <w:pPr>
              <w:jc w:val="center"/>
              <w:spacing w:after="0"/>
              <w:rPr>
                <w:sz w:val="20"/>
                <w:szCs w:val="20"/>
                <w:color w:val="auto"/>
              </w:rPr>
            </w:pPr>
            <w:r>
              <w:rPr>
                <w:rFonts w:ascii="Arial" w:cs="Arial" w:eastAsia="Arial" w:hAnsi="Arial"/>
                <w:sz w:val="18"/>
                <w:szCs w:val="18"/>
                <w:color w:val="auto"/>
                <w:w w:val="83"/>
              </w:rPr>
              <w:t>aggregate</w:t>
            </w: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Beijing Xingrui, and Xiamen Haisi</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shares. As of the date of this</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prospectus, all warrants have</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been exercised in full.</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Xiamen Xinweidachuang</w:t>
            </w:r>
          </w:p>
        </w:tc>
        <w:tc>
          <w:tcPr>
            <w:tcW w:w="3760" w:type="dxa"/>
            <w:vAlign w:val="bottom"/>
            <w:gridSpan w:val="4"/>
          </w:tcPr>
          <w:p>
            <w:pPr>
              <w:ind w:left="140"/>
              <w:spacing w:after="0"/>
              <w:rPr>
                <w:sz w:val="20"/>
                <w:szCs w:val="20"/>
                <w:color w:val="auto"/>
              </w:rPr>
            </w:pPr>
            <w:r>
              <w:rPr>
                <w:rFonts w:ascii="Arial" w:cs="Arial" w:eastAsia="Arial" w:hAnsi="Arial"/>
                <w:sz w:val="18"/>
                <w:szCs w:val="18"/>
                <w:color w:val="auto"/>
                <w:w w:val="91"/>
              </w:rPr>
              <w:t>January 3, 2020   Warrant to purchase 3,051,908</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cancellation of</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Series B-1 preferred shares.</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3,051,908 Series B-1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As of the date of this</w:t>
            </w: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preferred shares</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prospectus, this warrant has</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surrendered by</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been exercised in full.</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Tembusu Limited</w:t>
            </w:r>
          </w:p>
        </w:tc>
        <w:tc>
          <w:tcPr>
            <w:tcW w:w="0" w:type="dxa"/>
            <w:vAlign w:val="bottom"/>
          </w:tcPr>
          <w:p>
            <w:pPr>
              <w:spacing w:after="0"/>
              <w:rPr>
                <w:sz w:val="1"/>
                <w:szCs w:val="1"/>
                <w:color w:val="auto"/>
              </w:rPr>
            </w:pPr>
          </w:p>
        </w:tc>
      </w:tr>
      <w:tr>
        <w:trPr>
          <w:trHeight w:val="426"/>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Options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Certain directors, officers and employees</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Various dates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Options to purchase</w:t>
            </w: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Past and future services</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59,294,000 Class A ordinary</w:t>
            </w: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to us</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1"/>
              </w:rPr>
              <w:t>shares</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45"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Exhibit Index beginning on page II-8 of this registration statement.</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74" w:lineRule="exact"/>
        <w:rPr>
          <w:sz w:val="20"/>
          <w:szCs w:val="20"/>
          <w:color w:val="auto"/>
        </w:rPr>
      </w:pPr>
    </w:p>
    <w:p>
      <w:pPr>
        <w:ind w:firstLine="348"/>
        <w:spacing w:after="0" w:line="369" w:lineRule="auto"/>
        <w:rPr>
          <w:sz w:val="20"/>
          <w:szCs w:val="20"/>
          <w:color w:val="auto"/>
        </w:rPr>
      </w:pPr>
      <w:r>
        <w:rPr>
          <w:rFonts w:ascii="Arial" w:cs="Arial" w:eastAsia="Arial" w:hAnsi="Arial"/>
          <w:sz w:val="15"/>
          <w:szCs w:val="15"/>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145"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or the Notes thereto.</w:t>
      </w:r>
    </w:p>
    <w:p>
      <w:pPr>
        <w:spacing w:after="0" w:line="18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31" w:lineRule="exact"/>
        <w:rPr>
          <w:sz w:val="20"/>
          <w:szCs w:val="20"/>
          <w:color w:val="auto"/>
        </w:rPr>
      </w:pPr>
    </w:p>
    <w:p>
      <w:pPr>
        <w:ind w:right="300" w:firstLine="348"/>
        <w:spacing w:after="0" w:line="331" w:lineRule="auto"/>
        <w:rPr>
          <w:sz w:val="20"/>
          <w:szCs w:val="20"/>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4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 w:name="page10"/>
    <w:bookmarkEnd w:id="9"/>
    <w:p>
      <w:pPr>
        <w:ind w:right="120"/>
        <w:spacing w:after="0" w:line="294" w:lineRule="auto"/>
        <w:rPr>
          <w:sz w:val="20"/>
          <w:szCs w:val="20"/>
          <w:color w:val="auto"/>
        </w:rPr>
      </w:pPr>
      <w:r>
        <w:rPr>
          <w:rFonts w:ascii="Arial" w:cs="Arial" w:eastAsia="Arial" w:hAnsi="Arial"/>
          <w:sz w:val="16"/>
          <w:szCs w:val="16"/>
          <w:color w:val="auto"/>
        </w:rPr>
        <w:t>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39" w:lineRule="exact"/>
        <w:rPr>
          <w:sz w:val="20"/>
          <w:szCs w:val="20"/>
          <w:color w:val="auto"/>
        </w:rPr>
      </w:pPr>
    </w:p>
    <w:p>
      <w:pPr>
        <w:ind w:left="1080" w:right="20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87"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Arial" w:cs="Arial" w:eastAsia="Arial" w:hAnsi="Arial"/>
          <w:sz w:val="18"/>
          <w:szCs w:val="18"/>
          <w:color w:val="auto"/>
        </w:rPr>
      </w:pPr>
    </w:p>
    <w:p>
      <w:pPr>
        <w:ind w:left="1080" w:right="20" w:hanging="532"/>
        <w:spacing w:after="0" w:line="312" w:lineRule="auto"/>
        <w:tabs>
          <w:tab w:leader="none" w:pos="10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1" w:lineRule="exact"/>
        <w:rPr>
          <w:rFonts w:ascii="Arial" w:cs="Arial" w:eastAsia="Arial" w:hAnsi="Arial"/>
          <w:sz w:val="15"/>
          <w:szCs w:val="15"/>
          <w:color w:val="auto"/>
        </w:rPr>
      </w:pPr>
    </w:p>
    <w:p>
      <w:pPr>
        <w:ind w:left="1080" w:hanging="532"/>
        <w:spacing w:after="0" w:line="254"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purpose of determining any liability of the registrant under the Securities Act to any purchaser in the initial distribution of the securities, the undersigned registrant undertakes that in an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61" w:lineRule="exact"/>
        <w:rPr>
          <w:rFonts w:ascii="Arial" w:cs="Arial" w:eastAsia="Arial" w:hAnsi="Arial"/>
          <w:sz w:val="16"/>
          <w:szCs w:val="16"/>
          <w:color w:val="auto"/>
        </w:rPr>
      </w:pPr>
    </w:p>
    <w:p>
      <w:pPr>
        <w:ind w:left="1620" w:right="16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Li Auto Inc.</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Exhibit Index</w:t>
      </w:r>
    </w:p>
    <w:p>
      <w:pPr>
        <w:sectPr>
          <w:pgSz w:w="11900" w:h="16838" w:orient="portrait"/>
          <w:cols w:equalWidth="0" w:num="1">
            <w:col w:w="9019"/>
          </w:cols>
          <w:pgMar w:left="1440" w:top="341" w:right="1440" w:bottom="1440" w:gutter="0" w:footer="0" w:header="0"/>
        </w:sect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Exhibit</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02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jc w:val="center"/>
        <w:ind w:right="3339"/>
        <w:spacing w:after="0"/>
        <w:rPr>
          <w:sz w:val="20"/>
          <w:szCs w:val="20"/>
          <w:color w:val="auto"/>
        </w:rPr>
      </w:pP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-2112010</wp:posOffset>
            </wp:positionH>
            <wp:positionV relativeFrom="paragraph">
              <wp:posOffset>14605</wp:posOffset>
            </wp:positionV>
            <wp:extent cx="51263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3520" w:space="720"/>
            <w:col w:w="4779"/>
          </w:cols>
          <w:pgMar w:left="1440" w:top="341" w:right="1440" w:bottom="1440" w:gutter="0" w:footer="0" w:header="0"/>
          <w:type w:val="continuous"/>
        </w:sectPr>
      </w:pPr>
    </w:p>
    <w:p>
      <w:pPr>
        <w:ind w:left="44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w:anchor="page17">
        <w:r>
          <w:rPr>
            <w:rFonts w:ascii="Arial" w:cs="Arial" w:eastAsia="Arial" w:hAnsi="Arial"/>
            <w:sz w:val="16"/>
            <w:szCs w:val="16"/>
            <w:u w:val="single" w:color="auto"/>
            <w:color w:val="0000EE"/>
          </w:rPr>
          <w:t>Form of Underwriting Agreement</w:t>
        </w:r>
      </w:hyperlink>
    </w:p>
    <w:p>
      <w:pPr>
        <w:spacing w:after="0" w:line="217" w:lineRule="exact"/>
        <w:rPr>
          <w:sz w:val="20"/>
          <w:szCs w:val="20"/>
          <w:color w:val="auto"/>
        </w:rPr>
      </w:pPr>
    </w:p>
    <w:p>
      <w:pPr>
        <w:ind w:left="44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30">
        <w:r>
          <w:rPr>
            <w:rFonts w:ascii="Arial" w:cs="Arial" w:eastAsia="Arial" w:hAnsi="Arial"/>
            <w:sz w:val="16"/>
            <w:szCs w:val="16"/>
            <w:u w:val="single" w:color="auto"/>
            <w:color w:val="0000EE"/>
          </w:rPr>
          <w:t>Third Amended and Restated Memorandum and Articles of Association of the Registrant, as currently in effect</w:t>
        </w:r>
      </w:hyperlink>
    </w:p>
    <w:p>
      <w:pPr>
        <w:spacing w:after="0" w:line="225" w:lineRule="exact"/>
        <w:rPr>
          <w:sz w:val="20"/>
          <w:szCs w:val="20"/>
          <w:color w:val="auto"/>
        </w:rPr>
      </w:pPr>
    </w:p>
    <w:p>
      <w:pPr>
        <w:ind w:left="920" w:right="379" w:hanging="488"/>
        <w:spacing w:after="0" w:line="26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31">
        <w:r>
          <w:rPr>
            <w:rFonts w:ascii="Arial" w:cs="Arial" w:eastAsia="Arial" w:hAnsi="Arial"/>
            <w:sz w:val="18"/>
            <w:szCs w:val="18"/>
            <w:u w:val="single" w:color="auto"/>
            <w:color w:val="0000EE"/>
          </w:rPr>
          <w:t>Fourth Amended and Restated Memorandum and Articles of Association of the Registrant (effective upon the</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closing of this offering)</w:t>
        </w:r>
      </w:hyperlink>
    </w:p>
    <w:p>
      <w:pPr>
        <w:spacing w:after="0" w:line="186" w:lineRule="exact"/>
        <w:rPr>
          <w:sz w:val="20"/>
          <w:szCs w:val="20"/>
          <w:color w:val="auto"/>
        </w:rPr>
      </w:pPr>
    </w:p>
    <w:p>
      <w:pPr>
        <w:ind w:left="44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32">
        <w:r>
          <w:rPr>
            <w:rFonts w:ascii="Arial" w:cs="Arial" w:eastAsia="Arial" w:hAnsi="Arial"/>
            <w:sz w:val="16"/>
            <w:szCs w:val="16"/>
            <w:u w:val="single" w:color="auto"/>
            <w:color w:val="0000EE"/>
          </w:rPr>
          <w:t>Registrant's Specimen American Depositary Receipt (included in Exhibit 4.3)</w:t>
        </w:r>
      </w:hyperlink>
    </w:p>
    <w:p>
      <w:pPr>
        <w:spacing w:after="0" w:line="225" w:lineRule="exact"/>
        <w:rPr>
          <w:sz w:val="20"/>
          <w:szCs w:val="20"/>
          <w:color w:val="auto"/>
        </w:rPr>
      </w:pPr>
    </w:p>
    <w:p>
      <w:pPr>
        <w:ind w:left="440"/>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4.2†</w:t>
      </w:r>
      <w:r>
        <w:rPr>
          <w:sz w:val="20"/>
          <w:szCs w:val="20"/>
          <w:color w:val="auto"/>
        </w:rPr>
        <w:tab/>
      </w:r>
      <w:hyperlink r:id="rId33">
        <w:r>
          <w:rPr>
            <w:rFonts w:ascii="Arial" w:cs="Arial" w:eastAsia="Arial" w:hAnsi="Arial"/>
            <w:sz w:val="15"/>
            <w:szCs w:val="15"/>
            <w:u w:val="single" w:color="auto"/>
            <w:color w:val="0000EE"/>
          </w:rPr>
          <w:t>Registrant's Specimen Certificate for Ordinary Shares</w:t>
        </w:r>
      </w:hyperlink>
    </w:p>
    <w:p>
      <w:pPr>
        <w:spacing w:after="0" w:line="225" w:lineRule="exact"/>
        <w:rPr>
          <w:sz w:val="20"/>
          <w:szCs w:val="20"/>
          <w:color w:val="auto"/>
        </w:rPr>
      </w:pPr>
    </w:p>
    <w:p>
      <w:pPr>
        <w:ind w:left="440"/>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4.3†</w:t>
      </w:r>
      <w:r>
        <w:rPr>
          <w:sz w:val="20"/>
          <w:szCs w:val="20"/>
          <w:color w:val="auto"/>
        </w:rPr>
        <w:tab/>
      </w:r>
      <w:hyperlink r:id="rId32">
        <w:r>
          <w:rPr>
            <w:rFonts w:ascii="Arial" w:cs="Arial" w:eastAsia="Arial" w:hAnsi="Arial"/>
            <w:sz w:val="15"/>
            <w:szCs w:val="15"/>
            <w:u w:val="single" w:color="auto"/>
            <w:color w:val="0000EE"/>
          </w:rPr>
          <w:t>Form of Deposit Agreement, among the Registrant, the depositary and holder of the American Depositary Receipt</w:t>
        </w:r>
      </w:hyperlink>
    </w:p>
    <w:p>
      <w:pPr>
        <w:spacing w:after="0" w:line="225" w:lineRule="exact"/>
        <w:rPr>
          <w:sz w:val="20"/>
          <w:szCs w:val="20"/>
          <w:color w:val="auto"/>
        </w:rPr>
      </w:pPr>
    </w:p>
    <w:p>
      <w:pPr>
        <w:ind w:left="440"/>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4.4†</w:t>
      </w:r>
      <w:r>
        <w:rPr>
          <w:sz w:val="20"/>
          <w:szCs w:val="20"/>
          <w:color w:val="auto"/>
        </w:rPr>
        <w:tab/>
      </w:r>
      <w:hyperlink r:id="rId34">
        <w:r>
          <w:rPr>
            <w:rFonts w:ascii="Arial" w:cs="Arial" w:eastAsia="Arial" w:hAnsi="Arial"/>
            <w:sz w:val="15"/>
            <w:szCs w:val="15"/>
            <w:u w:val="single" w:color="auto"/>
            <w:color w:val="0000EE"/>
          </w:rPr>
          <w:t>Amended and Restated Shareholders Agreement between the Registrant and other parties thereto, dated July 1,</w:t>
        </w:r>
      </w:hyperlink>
    </w:p>
    <w:p>
      <w:pPr>
        <w:spacing w:after="0" w:line="15" w:lineRule="exact"/>
        <w:rPr>
          <w:sz w:val="20"/>
          <w:szCs w:val="20"/>
          <w:color w:val="auto"/>
        </w:rPr>
      </w:pPr>
    </w:p>
    <w:p>
      <w:pPr>
        <w:ind w:left="920"/>
        <w:spacing w:after="0"/>
        <w:rPr>
          <w:rFonts w:ascii="Arial" w:cs="Arial" w:eastAsia="Arial" w:hAnsi="Arial"/>
          <w:sz w:val="18"/>
          <w:szCs w:val="18"/>
          <w:u w:val="single" w:color="auto"/>
          <w:color w:val="0000EE"/>
        </w:rPr>
      </w:pPr>
      <w:hyperlink r:id="rId34">
        <w:r>
          <w:rPr>
            <w:rFonts w:ascii="Arial" w:cs="Arial" w:eastAsia="Arial" w:hAnsi="Arial"/>
            <w:sz w:val="18"/>
            <w:szCs w:val="18"/>
            <w:u w:val="single" w:color="auto"/>
            <w:color w:val="0000EE"/>
          </w:rPr>
          <w:t>2020</w:t>
        </w:r>
      </w:hyperlink>
    </w:p>
    <w:p>
      <w:pPr>
        <w:spacing w:after="0" w:line="219" w:lineRule="exact"/>
        <w:rPr>
          <w:sz w:val="20"/>
          <w:szCs w:val="20"/>
          <w:color w:val="auto"/>
        </w:rPr>
      </w:pPr>
    </w:p>
    <w:p>
      <w:pPr>
        <w:ind w:left="920" w:right="159" w:hanging="488"/>
        <w:spacing w:after="0" w:line="26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35">
        <w:r>
          <w:rPr>
            <w:rFonts w:ascii="Arial" w:cs="Arial" w:eastAsia="Arial" w:hAnsi="Arial"/>
            <w:sz w:val="18"/>
            <w:szCs w:val="18"/>
            <w:u w:val="single" w:color="auto"/>
            <w:color w:val="0000EE"/>
          </w:rPr>
          <w:t>Amendment to Amended and Restated Shareholders Agreement between the Registrant and other parties thereto,</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dated July 22, 2020</w:t>
        </w:r>
      </w:hyperlink>
    </w:p>
    <w:p>
      <w:pPr>
        <w:spacing w:after="0" w:line="186" w:lineRule="exact"/>
        <w:rPr>
          <w:sz w:val="20"/>
          <w:szCs w:val="20"/>
          <w:color w:val="auto"/>
        </w:rPr>
      </w:pPr>
    </w:p>
    <w:p>
      <w:pPr>
        <w:ind w:left="920" w:right="39" w:hanging="488"/>
        <w:spacing w:after="0" w:line="26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5.1†</w:t>
      </w:r>
      <w:r>
        <w:rPr>
          <w:sz w:val="20"/>
          <w:szCs w:val="20"/>
          <w:color w:val="auto"/>
        </w:rPr>
        <w:tab/>
      </w:r>
      <w:hyperlink r:id="rId36">
        <w:r>
          <w:rPr>
            <w:rFonts w:ascii="Arial" w:cs="Arial" w:eastAsia="Arial" w:hAnsi="Arial"/>
            <w:sz w:val="18"/>
            <w:szCs w:val="18"/>
            <w:u w:val="single" w:color="auto"/>
            <w:color w:val="0000EE"/>
          </w:rPr>
          <w:t>Opinion of Maples and Calder (Hong Kong) LLP regarding the validity of the ordinary shares being registered and</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certain Cayman Islands tax matters</w:t>
        </w:r>
      </w:hyperlink>
    </w:p>
    <w:p>
      <w:pPr>
        <w:spacing w:after="0" w:line="186" w:lineRule="exact"/>
        <w:rPr>
          <w:sz w:val="20"/>
          <w:szCs w:val="20"/>
          <w:color w:val="auto"/>
        </w:rPr>
      </w:pPr>
    </w:p>
    <w:p>
      <w:pPr>
        <w:ind w:left="920" w:right="519" w:hanging="488"/>
        <w:spacing w:after="0" w:line="26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8.1†</w:t>
      </w:r>
      <w:r>
        <w:rPr>
          <w:sz w:val="20"/>
          <w:szCs w:val="20"/>
          <w:color w:val="auto"/>
        </w:rPr>
        <w:tab/>
      </w:r>
      <w:hyperlink r:id="rId36">
        <w:r>
          <w:rPr>
            <w:rFonts w:ascii="Arial" w:cs="Arial" w:eastAsia="Arial" w:hAnsi="Arial"/>
            <w:sz w:val="18"/>
            <w:szCs w:val="18"/>
            <w:u w:val="single" w:color="auto"/>
            <w:color w:val="0000EE"/>
          </w:rPr>
          <w:t>Opinion of Maples and Calder (Hong Kong) LLP regarding certain Cayman Islands tax matters (included in</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Exhibit 5.1)</w:t>
        </w:r>
      </w:hyperlink>
    </w:p>
    <w:p>
      <w:pPr>
        <w:spacing w:after="0" w:line="186" w:lineRule="exact"/>
        <w:rPr>
          <w:sz w:val="20"/>
          <w:szCs w:val="20"/>
          <w:color w:val="auto"/>
        </w:rPr>
      </w:pPr>
    </w:p>
    <w:p>
      <w:pPr>
        <w:ind w:left="44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8.2†</w:t>
      </w:r>
      <w:r>
        <w:rPr>
          <w:sz w:val="20"/>
          <w:szCs w:val="20"/>
          <w:color w:val="auto"/>
        </w:rPr>
        <w:tab/>
      </w:r>
      <w:hyperlink r:id="rId37">
        <w:r>
          <w:rPr>
            <w:rFonts w:ascii="Arial" w:cs="Arial" w:eastAsia="Arial" w:hAnsi="Arial"/>
            <w:sz w:val="16"/>
            <w:szCs w:val="16"/>
            <w:u w:val="single" w:color="auto"/>
            <w:color w:val="0000EE"/>
          </w:rPr>
          <w:t>Opinion of Han Kun Law Offices regarding certain PRC tax matters (included in Exhibit 99.2)</w:t>
        </w:r>
      </w:hyperlink>
    </w:p>
    <w:p>
      <w:pPr>
        <w:spacing w:after="0" w:line="225" w:lineRule="exact"/>
        <w:rPr>
          <w:sz w:val="20"/>
          <w:szCs w:val="20"/>
          <w:color w:val="auto"/>
        </w:rPr>
      </w:pPr>
    </w:p>
    <w:p>
      <w:pPr>
        <w:ind w:left="340"/>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10.1†</w:t>
      </w:r>
      <w:r>
        <w:rPr>
          <w:sz w:val="20"/>
          <w:szCs w:val="20"/>
          <w:color w:val="auto"/>
        </w:rPr>
        <w:tab/>
      </w:r>
      <w:hyperlink r:id="rId38">
        <w:r>
          <w:rPr>
            <w:rFonts w:ascii="Arial" w:cs="Arial" w:eastAsia="Arial" w:hAnsi="Arial"/>
            <w:sz w:val="15"/>
            <w:szCs w:val="15"/>
            <w:u w:val="single" w:color="auto"/>
            <w:color w:val="0000EE"/>
          </w:rPr>
          <w:t>2019 Share Incentive Plan</w:t>
        </w:r>
      </w:hyperlink>
    </w:p>
    <w:p>
      <w:pPr>
        <w:spacing w:after="0" w:line="225" w:lineRule="exact"/>
        <w:rPr>
          <w:sz w:val="20"/>
          <w:szCs w:val="20"/>
          <w:color w:val="auto"/>
        </w:rPr>
      </w:pPr>
    </w:p>
    <w:p>
      <w:pPr>
        <w:ind w:left="340"/>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10.2†</w:t>
      </w:r>
      <w:r>
        <w:rPr>
          <w:sz w:val="20"/>
          <w:szCs w:val="20"/>
          <w:color w:val="auto"/>
        </w:rPr>
        <w:tab/>
      </w:r>
      <w:hyperlink r:id="rId39">
        <w:r>
          <w:rPr>
            <w:rFonts w:ascii="Arial" w:cs="Arial" w:eastAsia="Arial" w:hAnsi="Arial"/>
            <w:sz w:val="15"/>
            <w:szCs w:val="15"/>
            <w:u w:val="single" w:color="auto"/>
            <w:color w:val="0000EE"/>
          </w:rPr>
          <w:t>2020 Share Incentive Plan</w:t>
        </w:r>
      </w:hyperlink>
    </w:p>
    <w:p>
      <w:pPr>
        <w:spacing w:after="0" w:line="225" w:lineRule="exact"/>
        <w:rPr>
          <w:sz w:val="20"/>
          <w:szCs w:val="20"/>
          <w:color w:val="auto"/>
        </w:rPr>
      </w:pPr>
    </w:p>
    <w:p>
      <w:pPr>
        <w:ind w:left="34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40">
        <w:r>
          <w:rPr>
            <w:rFonts w:ascii="Arial" w:cs="Arial" w:eastAsia="Arial" w:hAnsi="Arial"/>
            <w:sz w:val="16"/>
            <w:szCs w:val="16"/>
            <w:u w:val="single" w:color="auto"/>
            <w:color w:val="0000EE"/>
          </w:rPr>
          <w:t>Form of Indemnification Agreement between the Registrant and its directors and executive officers</w:t>
        </w:r>
      </w:hyperlink>
    </w:p>
    <w:p>
      <w:pPr>
        <w:spacing w:after="0" w:line="225" w:lineRule="exact"/>
        <w:rPr>
          <w:sz w:val="20"/>
          <w:szCs w:val="20"/>
          <w:color w:val="auto"/>
        </w:rPr>
      </w:pPr>
    </w:p>
    <w:p>
      <w:pPr>
        <w:ind w:left="34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41">
        <w:r>
          <w:rPr>
            <w:rFonts w:ascii="Arial" w:cs="Arial" w:eastAsia="Arial" w:hAnsi="Arial"/>
            <w:sz w:val="16"/>
            <w:szCs w:val="16"/>
            <w:u w:val="single" w:color="auto"/>
            <w:color w:val="0000EE"/>
          </w:rPr>
          <w:t>Form of Employment Agreement between the Registrant and its executive officers</w:t>
        </w:r>
      </w:hyperlink>
    </w:p>
    <w:p>
      <w:pPr>
        <w:spacing w:after="0" w:line="225" w:lineRule="exact"/>
        <w:rPr>
          <w:sz w:val="20"/>
          <w:szCs w:val="20"/>
          <w:color w:val="auto"/>
        </w:rPr>
      </w:pPr>
    </w:p>
    <w:p>
      <w:pPr>
        <w:jc w:val="both"/>
        <w:ind w:left="920" w:right="219" w:hanging="576"/>
        <w:spacing w:after="0" w:line="259"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42">
        <w:r>
          <w:rPr>
            <w:rFonts w:ascii="Arial" w:cs="Arial" w:eastAsia="Arial" w:hAnsi="Arial"/>
            <w:sz w:val="18"/>
            <w:szCs w:val="18"/>
            <w:u w:val="single" w:color="auto"/>
            <w:color w:val="0000EE"/>
          </w:rPr>
          <w:t>English translation of executed form of Power of Attorney between a VIE of the Registrant, its shareholders and</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Wheels Technology as currently in effect, and a schedule of all executed Powers of Attorneys adopting the same</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form in respect of each of the VIEs of the Registrant</w:t>
        </w:r>
      </w:hyperlink>
    </w:p>
    <w:p>
      <w:pPr>
        <w:spacing w:after="0" w:line="194" w:lineRule="exact"/>
        <w:rPr>
          <w:rFonts w:ascii="Arial" w:cs="Arial" w:eastAsia="Arial" w:hAnsi="Arial"/>
          <w:sz w:val="18"/>
          <w:szCs w:val="18"/>
          <w:u w:val="single" w:color="auto"/>
          <w:color w:val="0000EE"/>
        </w:rPr>
      </w:pPr>
    </w:p>
    <w:p>
      <w:pPr>
        <w:ind w:left="920" w:right="79" w:hanging="576"/>
        <w:spacing w:after="0" w:line="259"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43">
        <w:r>
          <w:rPr>
            <w:rFonts w:ascii="Arial" w:cs="Arial" w:eastAsia="Arial" w:hAnsi="Arial"/>
            <w:sz w:val="18"/>
            <w:szCs w:val="18"/>
            <w:u w:val="single" w:color="auto"/>
            <w:color w:val="0000EE"/>
          </w:rPr>
          <w:t>English translation of the executed form of Spousal Consent Letter by the spouse of an individual shareholder of a</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VIE of the Registrant, as currently in effect, and a schedule of all executed Spousal Consent Letters adopting the</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same form in respect of each shareholder of the VIEs of the Registrant</w:t>
        </w:r>
      </w:hyperlink>
    </w:p>
    <w:p>
      <w:pPr>
        <w:spacing w:after="0" w:line="194" w:lineRule="exact"/>
        <w:rPr>
          <w:rFonts w:ascii="Arial" w:cs="Arial" w:eastAsia="Arial" w:hAnsi="Arial"/>
          <w:sz w:val="18"/>
          <w:szCs w:val="18"/>
          <w:u w:val="single" w:color="auto"/>
          <w:color w:val="0000EE"/>
        </w:rPr>
      </w:pPr>
    </w:p>
    <w:p>
      <w:pPr>
        <w:ind w:left="920" w:right="179" w:hanging="576"/>
        <w:spacing w:after="0" w:line="26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44">
        <w:r>
          <w:rPr>
            <w:rFonts w:ascii="Arial" w:cs="Arial" w:eastAsia="Arial" w:hAnsi="Arial"/>
            <w:sz w:val="18"/>
            <w:szCs w:val="18"/>
            <w:u w:val="single" w:color="auto"/>
            <w:color w:val="0000EE"/>
          </w:rPr>
          <w:t>English translation of Equity Pledge Agreement between Beijing CHJ, its shareholders, and Wheels Technology,</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dated May 13, 2020</w:t>
        </w:r>
      </w:hyperlink>
    </w:p>
    <w:p>
      <w:pPr>
        <w:spacing w:after="0" w:line="186" w:lineRule="exact"/>
        <w:rPr>
          <w:sz w:val="20"/>
          <w:szCs w:val="20"/>
          <w:color w:val="auto"/>
        </w:rPr>
      </w:pPr>
    </w:p>
    <w:p>
      <w:pPr>
        <w:ind w:left="920" w:right="799" w:hanging="576"/>
        <w:spacing w:after="0" w:line="26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45">
        <w:r>
          <w:rPr>
            <w:rFonts w:ascii="Arial" w:cs="Arial" w:eastAsia="Arial" w:hAnsi="Arial"/>
            <w:sz w:val="18"/>
            <w:szCs w:val="18"/>
            <w:u w:val="single" w:color="auto"/>
            <w:color w:val="0000EE"/>
          </w:rPr>
          <w:t>English translation of Exclusive Consultation and Service Agreement between Beijing CHJ and Wheels</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Technology, dated May 13, 2020</w:t>
        </w:r>
      </w:hyperlink>
    </w:p>
    <w:p>
      <w:pPr>
        <w:spacing w:after="0" w:line="186" w:lineRule="exact"/>
        <w:rPr>
          <w:sz w:val="20"/>
          <w:szCs w:val="20"/>
          <w:color w:val="auto"/>
        </w:rPr>
      </w:pPr>
    </w:p>
    <w:p>
      <w:pPr>
        <w:ind w:left="920" w:right="179" w:hanging="576"/>
        <w:spacing w:after="0" w:line="26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46">
        <w:r>
          <w:rPr>
            <w:rFonts w:ascii="Arial" w:cs="Arial" w:eastAsia="Arial" w:hAnsi="Arial"/>
            <w:sz w:val="18"/>
            <w:szCs w:val="18"/>
            <w:u w:val="single" w:color="auto"/>
            <w:color w:val="0000EE"/>
          </w:rPr>
          <w:t>English translation of Equity Option Agreement between Beijing CHJ, its shareholders, and Wheels Technology,</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dated May 13, 2020</w:t>
        </w:r>
      </w:hyperlink>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Exhibit</w:t>
            </w: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780" w:type="dxa"/>
            <w:vAlign w:val="bottom"/>
            <w:tcBorders>
              <w:bottom w:val="single" w:sz="8" w:color="auto"/>
            </w:tcBorders>
            <w:gridSpan w:val="9"/>
          </w:tcPr>
          <w:p>
            <w:pPr>
              <w:ind w:left="1040"/>
              <w:spacing w:after="0"/>
              <w:rPr>
                <w:sz w:val="20"/>
                <w:szCs w:val="20"/>
                <w:color w:val="auto"/>
              </w:rPr>
            </w:pPr>
            <w:r>
              <w:rPr>
                <w:rFonts w:ascii="Arial" w:cs="Arial" w:eastAsia="Arial" w:hAnsi="Arial"/>
                <w:sz w:val="13"/>
                <w:szCs w:val="13"/>
                <w:b w:val="1"/>
                <w:bCs w:val="1"/>
                <w:color w:val="auto"/>
              </w:rPr>
              <w:t>Description of Document</w:t>
            </w:r>
          </w:p>
        </w:tc>
      </w:tr>
      <w:tr>
        <w:trPr>
          <w:trHeight w:val="169"/>
        </w:trPr>
        <w:tc>
          <w:tcPr>
            <w:tcW w:w="920" w:type="dxa"/>
            <w:vAlign w:val="bottom"/>
            <w:gridSpan w:val="2"/>
          </w:tcPr>
          <w:p>
            <w:pPr>
              <w:jc w:val="right"/>
              <w:ind w:right="180"/>
              <w:spacing w:after="0" w:line="169" w:lineRule="exact"/>
              <w:rPr>
                <w:sz w:val="20"/>
                <w:szCs w:val="20"/>
                <w:color w:val="auto"/>
              </w:rPr>
            </w:pPr>
            <w:r>
              <w:rPr>
                <w:rFonts w:ascii="Arial" w:cs="Arial" w:eastAsia="Arial" w:hAnsi="Arial"/>
                <w:sz w:val="18"/>
                <w:szCs w:val="18"/>
                <w:color w:val="auto"/>
              </w:rPr>
              <w:t>10.10†</w:t>
            </w:r>
          </w:p>
        </w:tc>
        <w:tc>
          <w:tcPr>
            <w:tcW w:w="8060" w:type="dxa"/>
            <w:vAlign w:val="bottom"/>
            <w:gridSpan w:val="15"/>
          </w:tcPr>
          <w:p>
            <w:pPr>
              <w:spacing w:after="0" w:line="169"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English translation of Business Operation Agreement between Xindian Information, its shareholders, and Wheels</w:t>
              </w:r>
            </w:hyperlink>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48">
              <w:r>
                <w:rPr>
                  <w:rFonts w:ascii="Arial" w:cs="Arial" w:eastAsia="Arial" w:hAnsi="Arial"/>
                  <w:sz w:val="18"/>
                  <w:szCs w:val="18"/>
                  <w:color w:val="0000EE"/>
                  <w:w w:val="88"/>
                </w:rPr>
                <w:t>Technology, dated April 2, 2019</w:t>
              </w:r>
            </w:hyperlink>
          </w:p>
        </w:tc>
        <w:tc>
          <w:tcPr>
            <w:tcW w:w="5680" w:type="dxa"/>
            <w:vAlign w:val="bottom"/>
            <w:tcBorders>
              <w:top w:val="single" w:sz="8" w:color="0000EE"/>
            </w:tcBorders>
            <w:gridSpan w:val="7"/>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10.11†</w:t>
            </w:r>
          </w:p>
        </w:tc>
        <w:tc>
          <w:tcPr>
            <w:tcW w:w="7600" w:type="dxa"/>
            <w:vAlign w:val="bottom"/>
            <w:tcBorders>
              <w:bottom w:val="single" w:sz="8" w:color="0000EE"/>
            </w:tcBorders>
            <w:gridSpan w:val="9"/>
          </w:tcPr>
          <w:p>
            <w:pPr>
              <w:spacing w:after="0"/>
              <w:rPr>
                <w:rFonts w:ascii="Arial" w:cs="Arial" w:eastAsia="Arial" w:hAnsi="Arial"/>
                <w:sz w:val="18"/>
                <w:szCs w:val="18"/>
                <w:color w:val="0000EE"/>
                <w:w w:val="89"/>
              </w:rPr>
            </w:pPr>
            <w:hyperlink r:id="rId49">
              <w:r>
                <w:rPr>
                  <w:rFonts w:ascii="Arial" w:cs="Arial" w:eastAsia="Arial" w:hAnsi="Arial"/>
                  <w:sz w:val="18"/>
                  <w:szCs w:val="18"/>
                  <w:color w:val="0000EE"/>
                  <w:w w:val="89"/>
                </w:rPr>
                <w:t>English translation of Equity Pledge Agreement between Xindian Information, its shareholders, and Wheels</w:t>
              </w:r>
            </w:hyperlink>
          </w:p>
        </w:tc>
        <w:tc>
          <w:tcPr>
            <w:tcW w:w="460" w:type="dxa"/>
            <w:vAlign w:val="bottom"/>
            <w:gridSpan w:val="6"/>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49">
              <w:r>
                <w:rPr>
                  <w:rFonts w:ascii="Arial" w:cs="Arial" w:eastAsia="Arial" w:hAnsi="Arial"/>
                  <w:sz w:val="18"/>
                  <w:szCs w:val="18"/>
                  <w:color w:val="0000EE"/>
                  <w:w w:val="88"/>
                </w:rPr>
                <w:t>Technology, dated April 2, 2019</w:t>
              </w:r>
            </w:hyperlink>
          </w:p>
        </w:tc>
        <w:tc>
          <w:tcPr>
            <w:tcW w:w="5800" w:type="dxa"/>
            <w:vAlign w:val="bottom"/>
            <w:gridSpan w:val="10"/>
          </w:tcPr>
          <w:p>
            <w:pPr>
              <w:spacing w:after="0"/>
              <w:rPr>
                <w:sz w:val="17"/>
                <w:szCs w:val="17"/>
                <w:color w:val="auto"/>
              </w:rPr>
            </w:pPr>
          </w:p>
        </w:tc>
      </w:tr>
      <w:tr>
        <w:trPr>
          <w:trHeight w:val="41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10.12†</w:t>
            </w:r>
          </w:p>
        </w:tc>
        <w:tc>
          <w:tcPr>
            <w:tcW w:w="8060" w:type="dxa"/>
            <w:vAlign w:val="bottom"/>
            <w:gridSpan w:val="15"/>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English translation of Exclusive Consultation and Service Agreement between Xindian Information and Wheels</w:t>
              </w:r>
            </w:hyperlink>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Technology, dated April 2, 2019</w:t>
              </w:r>
            </w:hyperlink>
          </w:p>
        </w:tc>
        <w:tc>
          <w:tcPr>
            <w:tcW w:w="5580" w:type="dxa"/>
            <w:vAlign w:val="bottom"/>
            <w:tcBorders>
              <w:top w:val="single" w:sz="8" w:color="0000EE"/>
            </w:tcBorders>
            <w:gridSpan w:val="5"/>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41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10.13†</w:t>
            </w:r>
          </w:p>
        </w:tc>
        <w:tc>
          <w:tcPr>
            <w:tcW w:w="7600" w:type="dxa"/>
            <w:vAlign w:val="bottom"/>
            <w:tcBorders>
              <w:bottom w:val="single" w:sz="8" w:color="0000EE"/>
            </w:tcBorders>
            <w:gridSpan w:val="9"/>
          </w:tcPr>
          <w:p>
            <w:pPr>
              <w:spacing w:after="0"/>
              <w:rPr>
                <w:rFonts w:ascii="Arial" w:cs="Arial" w:eastAsia="Arial" w:hAnsi="Arial"/>
                <w:sz w:val="18"/>
                <w:szCs w:val="18"/>
                <w:color w:val="0000EE"/>
                <w:w w:val="89"/>
              </w:rPr>
            </w:pPr>
            <w:hyperlink r:id="rId51">
              <w:r>
                <w:rPr>
                  <w:rFonts w:ascii="Arial" w:cs="Arial" w:eastAsia="Arial" w:hAnsi="Arial"/>
                  <w:sz w:val="18"/>
                  <w:szCs w:val="18"/>
                  <w:color w:val="0000EE"/>
                  <w:w w:val="89"/>
                </w:rPr>
                <w:t>English translation of Equity Option Agreement between Xindian Information, its shareholders, and Wheels</w:t>
              </w:r>
            </w:hyperlink>
          </w:p>
        </w:tc>
        <w:tc>
          <w:tcPr>
            <w:tcW w:w="460" w:type="dxa"/>
            <w:vAlign w:val="bottom"/>
            <w:gridSpan w:val="6"/>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51">
              <w:r>
                <w:rPr>
                  <w:rFonts w:ascii="Arial" w:cs="Arial" w:eastAsia="Arial" w:hAnsi="Arial"/>
                  <w:sz w:val="18"/>
                  <w:szCs w:val="18"/>
                  <w:color w:val="0000EE"/>
                  <w:w w:val="88"/>
                </w:rPr>
                <w:t>Technology, dated April 2, 2019</w:t>
              </w:r>
            </w:hyperlink>
          </w:p>
        </w:tc>
        <w:tc>
          <w:tcPr>
            <w:tcW w:w="5800" w:type="dxa"/>
            <w:vAlign w:val="bottom"/>
            <w:gridSpan w:val="10"/>
          </w:tcPr>
          <w:p>
            <w:pPr>
              <w:spacing w:after="0"/>
              <w:rPr>
                <w:sz w:val="17"/>
                <w:szCs w:val="17"/>
                <w:color w:val="auto"/>
              </w:rPr>
            </w:pPr>
          </w:p>
        </w:tc>
      </w:tr>
      <w:tr>
        <w:trPr>
          <w:trHeight w:val="41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10.14†</w:t>
            </w:r>
          </w:p>
        </w:tc>
        <w:tc>
          <w:tcPr>
            <w:tcW w:w="8000" w:type="dxa"/>
            <w:vAlign w:val="bottom"/>
            <w:tcBorders>
              <w:bottom w:val="single" w:sz="8" w:color="0000EE"/>
            </w:tcBorders>
            <w:gridSpan w:val="14"/>
          </w:tcPr>
          <w:p>
            <w:pPr>
              <w:spacing w:after="0"/>
              <w:rPr>
                <w:rFonts w:ascii="Arial" w:cs="Arial" w:eastAsia="Arial" w:hAnsi="Arial"/>
                <w:sz w:val="18"/>
                <w:szCs w:val="18"/>
                <w:color w:val="0000EE"/>
                <w:w w:val="86"/>
              </w:rPr>
            </w:pPr>
            <w:hyperlink r:id="rId52">
              <w:r>
                <w:rPr>
                  <w:rFonts w:ascii="Arial" w:cs="Arial" w:eastAsia="Arial" w:hAnsi="Arial"/>
                  <w:sz w:val="18"/>
                  <w:szCs w:val="18"/>
                  <w:color w:val="0000EE"/>
                  <w:w w:val="86"/>
                </w:rPr>
                <w:t>Series C Warrant and Preferred Share Purchase Agreement between the Registrant and other parties thereto, dated</w:t>
              </w:r>
            </w:hyperlink>
          </w:p>
        </w:tc>
        <w:tc>
          <w:tcPr>
            <w:tcW w:w="6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60" w:type="dxa"/>
            <w:vAlign w:val="bottom"/>
            <w:gridSpan w:val="15"/>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July 2, 2019</w:t>
              </w:r>
            </w:hyperlink>
          </w:p>
        </w:tc>
      </w:tr>
      <w:tr>
        <w:trPr>
          <w:trHeight w:val="20"/>
        </w:trPr>
        <w:tc>
          <w:tcPr>
            <w:tcW w:w="92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10.15†</w:t>
            </w:r>
          </w:p>
        </w:tc>
        <w:tc>
          <w:tcPr>
            <w:tcW w:w="7940" w:type="dxa"/>
            <w:vAlign w:val="bottom"/>
            <w:tcBorders>
              <w:bottom w:val="single" w:sz="8" w:color="0000EE"/>
            </w:tcBorders>
            <w:gridSpan w:val="12"/>
          </w:tcPr>
          <w:p>
            <w:pPr>
              <w:spacing w:after="0"/>
              <w:rPr>
                <w:rFonts w:ascii="Arial" w:cs="Arial" w:eastAsia="Arial" w:hAnsi="Arial"/>
                <w:sz w:val="18"/>
                <w:szCs w:val="18"/>
                <w:color w:val="0000EE"/>
                <w:w w:val="87"/>
              </w:rPr>
            </w:pPr>
            <w:hyperlink r:id="rId53">
              <w:r>
                <w:rPr>
                  <w:rFonts w:ascii="Arial" w:cs="Arial" w:eastAsia="Arial" w:hAnsi="Arial"/>
                  <w:sz w:val="18"/>
                  <w:szCs w:val="18"/>
                  <w:color w:val="0000EE"/>
                  <w:w w:val="87"/>
                </w:rPr>
                <w:t>Series D Preferred Share Purchase Agreement between the Registrant, Inspired Elite Investments Limited, Kevin</w:t>
              </w:r>
            </w:hyperlink>
          </w:p>
        </w:tc>
        <w:tc>
          <w:tcPr>
            <w:tcW w:w="120" w:type="dxa"/>
            <w:vAlign w:val="bottom"/>
            <w:gridSpan w:val="3"/>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53">
              <w:r>
                <w:rPr>
                  <w:rFonts w:ascii="Arial" w:cs="Arial" w:eastAsia="Arial" w:hAnsi="Arial"/>
                  <w:sz w:val="18"/>
                  <w:szCs w:val="18"/>
                  <w:color w:val="0000EE"/>
                  <w:w w:val="88"/>
                </w:rPr>
                <w:t>Sunny Holding Limited, and other parties thereto, dated July 1, 2020</w:t>
              </w:r>
            </w:hyperlink>
          </w:p>
        </w:tc>
        <w:tc>
          <w:tcPr>
            <w:tcW w:w="3220" w:type="dxa"/>
            <w:vAlign w:val="bottom"/>
            <w:gridSpan w:val="8"/>
          </w:tcPr>
          <w:p>
            <w:pPr>
              <w:spacing w:after="0"/>
              <w:rPr>
                <w:sz w:val="17"/>
                <w:szCs w:val="17"/>
                <w:color w:val="auto"/>
              </w:rPr>
            </w:pPr>
          </w:p>
        </w:tc>
      </w:tr>
      <w:tr>
        <w:trPr>
          <w:trHeight w:val="41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10.16†</w:t>
            </w:r>
          </w:p>
        </w:tc>
        <w:tc>
          <w:tcPr>
            <w:tcW w:w="8060" w:type="dxa"/>
            <w:vAlign w:val="bottom"/>
            <w:gridSpan w:val="15"/>
          </w:tcPr>
          <w:p>
            <w:pPr>
              <w:spacing w:after="0"/>
              <w:rPr>
                <w:rFonts w:ascii="Arial" w:cs="Arial" w:eastAsia="Arial" w:hAnsi="Arial"/>
                <w:sz w:val="18"/>
                <w:szCs w:val="18"/>
                <w:color w:val="0000EE"/>
                <w:w w:val="89"/>
              </w:rPr>
            </w:pPr>
            <w:hyperlink r:id="rId54">
              <w:r>
                <w:rPr>
                  <w:rFonts w:ascii="Arial" w:cs="Arial" w:eastAsia="Arial" w:hAnsi="Arial"/>
                  <w:sz w:val="18"/>
                  <w:szCs w:val="18"/>
                  <w:color w:val="0000EE"/>
                  <w:w w:val="89"/>
                </w:rPr>
                <w:t>Series D Preferred Share Purchase Agreement between the Registrant, Amp Lee Ltd., and other parties thereto,</w:t>
              </w:r>
            </w:hyperlink>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dated July 1, 2020</w:t>
              </w:r>
            </w:hyperlink>
          </w:p>
        </w:tc>
        <w:tc>
          <w:tcPr>
            <w:tcW w:w="260" w:type="dxa"/>
            <w:vAlign w:val="bottom"/>
            <w:gridSpan w:val="5"/>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r>
      <w:tr>
        <w:trPr>
          <w:trHeight w:val="41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10.17†</w:t>
            </w:r>
          </w:p>
        </w:tc>
        <w:tc>
          <w:tcPr>
            <w:tcW w:w="7580" w:type="dxa"/>
            <w:vAlign w:val="bottom"/>
            <w:tcBorders>
              <w:bottom w:val="single" w:sz="8" w:color="0000EE"/>
            </w:tcBorders>
            <w:gridSpan w:val="8"/>
          </w:tcPr>
          <w:p>
            <w:pPr>
              <w:spacing w:after="0"/>
              <w:rPr>
                <w:rFonts w:ascii="Arial" w:cs="Arial" w:eastAsia="Arial" w:hAnsi="Arial"/>
                <w:sz w:val="18"/>
                <w:szCs w:val="18"/>
                <w:color w:val="0000EE"/>
                <w:w w:val="89"/>
              </w:rPr>
            </w:pPr>
            <w:hyperlink r:id="rId55">
              <w:r>
                <w:rPr>
                  <w:rFonts w:ascii="Arial" w:cs="Arial" w:eastAsia="Arial" w:hAnsi="Arial"/>
                  <w:sz w:val="18"/>
                  <w:szCs w:val="18"/>
                  <w:color w:val="0000EE"/>
                  <w:w w:val="89"/>
                </w:rPr>
                <w:t>Investor Rights Agreement between the Registrant, Xiang Li, Amp Lee Ltd., and Inspired Elite Investments</w:t>
              </w:r>
            </w:hyperlink>
          </w:p>
        </w:tc>
        <w:tc>
          <w:tcPr>
            <w:tcW w:w="480" w:type="dxa"/>
            <w:vAlign w:val="bottom"/>
            <w:gridSpan w:val="7"/>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55">
              <w:r>
                <w:rPr>
                  <w:rFonts w:ascii="Arial" w:cs="Arial" w:eastAsia="Arial" w:hAnsi="Arial"/>
                  <w:sz w:val="18"/>
                  <w:szCs w:val="18"/>
                  <w:color w:val="0000EE"/>
                  <w:w w:val="89"/>
                </w:rPr>
                <w:t>Limited, dated July 9, 2020</w:t>
              </w:r>
            </w:hyperlink>
          </w:p>
        </w:tc>
        <w:tc>
          <w:tcPr>
            <w:tcW w:w="6120" w:type="dxa"/>
            <w:vAlign w:val="bottom"/>
            <w:gridSpan w:val="11"/>
          </w:tcPr>
          <w:p>
            <w:pPr>
              <w:spacing w:after="0"/>
              <w:rPr>
                <w:sz w:val="17"/>
                <w:szCs w:val="17"/>
                <w:color w:val="auto"/>
              </w:rPr>
            </w:pPr>
          </w:p>
        </w:tc>
      </w:tr>
      <w:tr>
        <w:trPr>
          <w:trHeight w:val="450"/>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10.18†</w:t>
            </w:r>
          </w:p>
        </w:tc>
        <w:tc>
          <w:tcPr>
            <w:tcW w:w="8060" w:type="dxa"/>
            <w:vAlign w:val="bottom"/>
            <w:gridSpan w:val="15"/>
          </w:tcPr>
          <w:p>
            <w:pPr>
              <w:spacing w:after="0"/>
              <w:rPr>
                <w:rFonts w:ascii="Arial" w:cs="Arial" w:eastAsia="Arial" w:hAnsi="Arial"/>
                <w:sz w:val="18"/>
                <w:szCs w:val="18"/>
                <w:u w:val="single" w:color="auto"/>
                <w:color w:val="0000EE"/>
                <w:w w:val="88"/>
              </w:rPr>
            </w:pPr>
            <w:hyperlink r:id="rId56">
              <w:r>
                <w:rPr>
                  <w:rFonts w:ascii="Arial" w:cs="Arial" w:eastAsia="Arial" w:hAnsi="Arial"/>
                  <w:sz w:val="18"/>
                  <w:szCs w:val="18"/>
                  <w:u w:val="single" w:color="auto"/>
                  <w:color w:val="0000EE"/>
                  <w:w w:val="88"/>
                </w:rPr>
                <w:t>Share Subscription Agreement between the Registrant and Inspired Elite Investments Limited, dated July 22, 2020</w:t>
              </w:r>
            </w:hyperlink>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10.19†</w:t>
            </w:r>
          </w:p>
        </w:tc>
        <w:tc>
          <w:tcPr>
            <w:tcW w:w="8060" w:type="dxa"/>
            <w:vAlign w:val="bottom"/>
            <w:gridSpan w:val="15"/>
          </w:tcPr>
          <w:p>
            <w:pPr>
              <w:spacing w:after="0"/>
              <w:rPr>
                <w:rFonts w:ascii="Arial" w:cs="Arial" w:eastAsia="Arial" w:hAnsi="Arial"/>
                <w:sz w:val="18"/>
                <w:szCs w:val="18"/>
                <w:u w:val="single" w:color="auto"/>
                <w:color w:val="0000EE"/>
                <w:w w:val="96"/>
              </w:rPr>
            </w:pPr>
            <w:hyperlink r:id="rId57">
              <w:r>
                <w:rPr>
                  <w:rFonts w:ascii="Arial" w:cs="Arial" w:eastAsia="Arial" w:hAnsi="Arial"/>
                  <w:sz w:val="18"/>
                  <w:szCs w:val="18"/>
                  <w:u w:val="single" w:color="auto"/>
                  <w:color w:val="0000EE"/>
                  <w:w w:val="96"/>
                </w:rPr>
                <w:t>Share Subscription Agreement between the Registrant and Bytedance (HK) Limited, dated July 22, 2020</w:t>
              </w:r>
            </w:hyperlink>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10.20†</w:t>
            </w:r>
          </w:p>
        </w:tc>
        <w:tc>
          <w:tcPr>
            <w:tcW w:w="8060" w:type="dxa"/>
            <w:vAlign w:val="bottom"/>
            <w:gridSpan w:val="15"/>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Share Subscription Agreement between the Registrant and Zijin Global Inc., dated July 22, 2020</w:t>
              </w:r>
            </w:hyperlink>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10.21†</w:t>
            </w:r>
          </w:p>
        </w:tc>
        <w:tc>
          <w:tcPr>
            <w:tcW w:w="8060" w:type="dxa"/>
            <w:vAlign w:val="bottom"/>
            <w:gridSpan w:val="15"/>
          </w:tcPr>
          <w:p>
            <w:pPr>
              <w:spacing w:after="0"/>
              <w:rPr>
                <w:rFonts w:ascii="Arial" w:cs="Arial" w:eastAsia="Arial" w:hAnsi="Arial"/>
                <w:sz w:val="18"/>
                <w:szCs w:val="18"/>
                <w:u w:val="single" w:color="auto"/>
                <w:color w:val="0000EE"/>
                <w:w w:val="92"/>
              </w:rPr>
            </w:pPr>
            <w:hyperlink r:id="rId59">
              <w:r>
                <w:rPr>
                  <w:rFonts w:ascii="Arial" w:cs="Arial" w:eastAsia="Arial" w:hAnsi="Arial"/>
                  <w:sz w:val="18"/>
                  <w:szCs w:val="18"/>
                  <w:u w:val="single" w:color="auto"/>
                  <w:color w:val="0000EE"/>
                  <w:w w:val="92"/>
                </w:rPr>
                <w:t>Share Subscription Agreement between the Registrant and Kevin Sunny Holding Limited, dated July 22, 2020</w:t>
              </w:r>
            </w:hyperlink>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8060" w:type="dxa"/>
            <w:vAlign w:val="bottom"/>
            <w:gridSpan w:val="15"/>
          </w:tcPr>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Significant Subsidiaries of the Registrant</w:t>
              </w:r>
            </w:hyperlink>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8060" w:type="dxa"/>
            <w:vAlign w:val="bottom"/>
            <w:gridSpan w:val="15"/>
          </w:tcPr>
          <w:p>
            <w:pPr>
              <w:spacing w:after="0"/>
              <w:rPr>
                <w:rFonts w:ascii="Arial" w:cs="Arial" w:eastAsia="Arial" w:hAnsi="Arial"/>
                <w:sz w:val="18"/>
                <w:szCs w:val="18"/>
                <w:u w:val="single" w:color="auto"/>
                <w:color w:val="0000EE"/>
                <w:w w:val="97"/>
              </w:rPr>
            </w:pPr>
            <w:hyperlink r:id="rId61">
              <w:r>
                <w:rPr>
                  <w:rFonts w:ascii="Arial" w:cs="Arial" w:eastAsia="Arial" w:hAnsi="Arial"/>
                  <w:sz w:val="18"/>
                  <w:szCs w:val="18"/>
                  <w:u w:val="single" w:color="auto"/>
                  <w:color w:val="0000EE"/>
                  <w:w w:val="97"/>
                </w:rPr>
                <w:t>Consent of PricewaterhouseCoopers Zhong Tian LLP, an independent registered public accounting firm</w:t>
              </w:r>
            </w:hyperlink>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8060" w:type="dxa"/>
            <w:vAlign w:val="bottom"/>
            <w:gridSpan w:val="15"/>
          </w:tcPr>
          <w:p>
            <w:pPr>
              <w:spacing w:after="0"/>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Consent of Maples and Calder (Hong Kong) LLP (included in Exhibit 5.1)</w:t>
              </w:r>
            </w:hyperlink>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23.3†</w:t>
            </w:r>
          </w:p>
        </w:tc>
        <w:tc>
          <w:tcPr>
            <w:tcW w:w="8060" w:type="dxa"/>
            <w:vAlign w:val="bottom"/>
            <w:gridSpan w:val="15"/>
          </w:tcPr>
          <w:p>
            <w:pPr>
              <w:spacing w:after="0"/>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Consent of Han Kun Law Offices (included in Exhibit 99.2)</w:t>
              </w:r>
            </w:hyperlink>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8060" w:type="dxa"/>
            <w:vAlign w:val="bottom"/>
            <w:gridSpan w:val="15"/>
          </w:tcPr>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Consent of Hongqiang Zhao</w:t>
              </w:r>
            </w:hyperlink>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8060" w:type="dxa"/>
            <w:vAlign w:val="bottom"/>
            <w:gridSpan w:val="15"/>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Powers of Attorney (included on signature page)</w:t>
              </w:r>
            </w:hyperlink>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8060" w:type="dxa"/>
            <w:vAlign w:val="bottom"/>
            <w:gridSpan w:val="15"/>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Code of Business Conduct and Ethics of the Registrant</w:t>
              </w:r>
            </w:hyperlink>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99.2†</w:t>
            </w:r>
          </w:p>
        </w:tc>
        <w:tc>
          <w:tcPr>
            <w:tcW w:w="8060" w:type="dxa"/>
            <w:vAlign w:val="bottom"/>
            <w:gridSpan w:val="15"/>
          </w:tcPr>
          <w:p>
            <w:pPr>
              <w:spacing w:after="0"/>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Opinion of Han Kun Law Offices regarding certain PRC law matters</w:t>
              </w:r>
            </w:hyperlink>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99.3†</w:t>
            </w:r>
          </w:p>
        </w:tc>
        <w:tc>
          <w:tcPr>
            <w:tcW w:w="8060" w:type="dxa"/>
            <w:vAlign w:val="bottom"/>
            <w:gridSpan w:val="15"/>
          </w:tcPr>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Consent of China Insights Consultancy</w:t>
              </w:r>
            </w:hyperlink>
          </w:p>
        </w:tc>
      </w:tr>
      <w:tr>
        <w:trPr>
          <w:trHeight w:val="110"/>
        </w:trPr>
        <w:tc>
          <w:tcPr>
            <w:tcW w:w="6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92" w:lineRule="exact"/>
        <w:rPr>
          <w:sz w:val="20"/>
          <w:szCs w:val="20"/>
          <w:color w:val="auto"/>
        </w:rPr>
      </w:pPr>
    </w:p>
    <w:p>
      <w:pPr>
        <w:ind w:left="560" w:hanging="549"/>
        <w:spacing w:after="0"/>
        <w:tabs>
          <w:tab w:leader="none" w:pos="56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Beijing, China on July 27, 2020.</w:t>
      </w:r>
    </w:p>
    <w:p>
      <w:pPr>
        <w:spacing w:after="0" w:line="18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Li Auto Inc.</w:t>
      </w:r>
    </w:p>
    <w:p>
      <w:pPr>
        <w:spacing w:after="0" w:line="258"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Xiang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Xiang Li</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Chairman and Chief Executive Officer</w:t>
            </w:r>
          </w:p>
        </w:tc>
      </w:tr>
      <w:tr>
        <w:trPr>
          <w:trHeight w:val="432"/>
        </w:trPr>
        <w:tc>
          <w:tcPr>
            <w:tcW w:w="6700" w:type="dxa"/>
            <w:vAlign w:val="bottom"/>
          </w:tcPr>
          <w:p>
            <w:pPr>
              <w:ind w:left="5440"/>
              <w:spacing w:after="0"/>
              <w:rPr>
                <w:sz w:val="20"/>
                <w:szCs w:val="20"/>
                <w:color w:val="auto"/>
              </w:rPr>
            </w:pPr>
            <w:r>
              <w:rPr>
                <w:rFonts w:ascii="Arial" w:cs="Arial" w:eastAsia="Arial" w:hAnsi="Arial"/>
                <w:sz w:val="18"/>
                <w:szCs w:val="18"/>
                <w:color w:val="auto"/>
              </w:rPr>
              <w:t>II-10</w:t>
            </w:r>
          </w:p>
        </w:tc>
        <w:tc>
          <w:tcPr>
            <w:tcW w:w="4540" w:type="dxa"/>
            <w:vAlign w:val="bottom"/>
          </w:tcPr>
          <w:p>
            <w:pPr>
              <w:spacing w:after="0"/>
              <w:rPr>
                <w:sz w:val="24"/>
                <w:szCs w:val="24"/>
                <w:color w:val="auto"/>
              </w:rPr>
            </w:pPr>
          </w:p>
        </w:tc>
      </w:tr>
      <w:tr>
        <w:trPr>
          <w:trHeight w:val="228"/>
        </w:trPr>
        <w:tc>
          <w:tcPr>
            <w:tcW w:w="670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1" w:lineRule="exact"/>
        <w:rPr>
          <w:sz w:val="20"/>
          <w:szCs w:val="20"/>
          <w:color w:val="auto"/>
        </w:rPr>
      </w:pPr>
    </w:p>
    <w:p>
      <w:pPr>
        <w:ind w:left="2700"/>
        <w:spacing w:after="0"/>
        <w:tabs>
          <w:tab w:leader="none" w:pos="6680" w:val="left"/>
          <w:tab w:leader="none" w:pos="932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0720"/>
          </w:cols>
          <w:pgMar w:left="320" w:top="131" w:right="8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left="1420"/>
        <w:spacing w:after="0"/>
        <w:rPr>
          <w:sz w:val="20"/>
          <w:szCs w:val="20"/>
          <w:color w:val="auto"/>
        </w:rPr>
      </w:pPr>
      <w:r>
        <w:rPr>
          <w:rFonts w:ascii="Arial" w:cs="Arial" w:eastAsia="Arial" w:hAnsi="Arial"/>
          <w:sz w:val="16"/>
          <w:szCs w:val="16"/>
          <w:color w:val="auto"/>
        </w:rPr>
        <w:t>/s/ Xiang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85725</wp:posOffset>
            </wp:positionV>
            <wp:extent cx="2348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1" w:lineRule="exact"/>
        <w:rPr>
          <w:sz w:val="20"/>
          <w:szCs w:val="20"/>
          <w:color w:val="auto"/>
        </w:rPr>
      </w:pPr>
    </w:p>
    <w:p>
      <w:pPr>
        <w:jc w:val="center"/>
        <w:ind w:left="1420"/>
        <w:spacing w:after="0"/>
        <w:rPr>
          <w:sz w:val="20"/>
          <w:szCs w:val="20"/>
          <w:color w:val="auto"/>
        </w:rPr>
      </w:pPr>
      <w:r>
        <w:rPr>
          <w:rFonts w:ascii="Arial" w:cs="Arial" w:eastAsia="Arial" w:hAnsi="Arial"/>
          <w:sz w:val="18"/>
          <w:szCs w:val="18"/>
          <w:color w:val="auto"/>
        </w:rPr>
        <w:t>Xiang Li</w:t>
      </w:r>
    </w:p>
    <w:p>
      <w:pPr>
        <w:spacing w:after="0" w:line="252" w:lineRule="exact"/>
        <w:rPr>
          <w:sz w:val="20"/>
          <w:szCs w:val="20"/>
          <w:color w:val="auto"/>
        </w:rPr>
      </w:pPr>
    </w:p>
    <w:p>
      <w:pPr>
        <w:jc w:val="center"/>
        <w:ind w:left="1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34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78" w:lineRule="exact"/>
        <w:rPr>
          <w:sz w:val="20"/>
          <w:szCs w:val="20"/>
          <w:color w:val="auto"/>
        </w:rPr>
      </w:pPr>
    </w:p>
    <w:p>
      <w:pPr>
        <w:jc w:val="center"/>
        <w:ind w:left="1420"/>
        <w:spacing w:after="0"/>
        <w:rPr>
          <w:sz w:val="20"/>
          <w:szCs w:val="20"/>
          <w:color w:val="auto"/>
        </w:rPr>
      </w:pPr>
      <w:r>
        <w:rPr>
          <w:rFonts w:ascii="Arial" w:cs="Arial" w:eastAsia="Arial" w:hAnsi="Arial"/>
          <w:sz w:val="15"/>
          <w:szCs w:val="15"/>
          <w:color w:val="auto"/>
        </w:rPr>
        <w:t>Yanan Shen</w:t>
      </w:r>
    </w:p>
    <w:p>
      <w:pPr>
        <w:spacing w:after="0" w:line="287" w:lineRule="exact"/>
        <w:rPr>
          <w:sz w:val="20"/>
          <w:szCs w:val="20"/>
          <w:color w:val="auto"/>
        </w:rPr>
      </w:pPr>
    </w:p>
    <w:p>
      <w:pPr>
        <w:jc w:val="center"/>
        <w:ind w:left="1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3488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78" w:lineRule="exact"/>
        <w:rPr>
          <w:sz w:val="20"/>
          <w:szCs w:val="20"/>
          <w:color w:val="auto"/>
        </w:rPr>
      </w:pPr>
    </w:p>
    <w:p>
      <w:pPr>
        <w:jc w:val="center"/>
        <w:ind w:left="1420"/>
        <w:spacing w:after="0"/>
        <w:rPr>
          <w:sz w:val="20"/>
          <w:szCs w:val="20"/>
          <w:color w:val="auto"/>
        </w:rPr>
      </w:pPr>
      <w:r>
        <w:rPr>
          <w:rFonts w:ascii="Arial" w:cs="Arial" w:eastAsia="Arial" w:hAnsi="Arial"/>
          <w:sz w:val="18"/>
          <w:szCs w:val="18"/>
          <w:color w:val="auto"/>
        </w:rPr>
        <w:t>Tie Li</w:t>
      </w:r>
    </w:p>
    <w:p>
      <w:pPr>
        <w:spacing w:after="0" w:line="252" w:lineRule="exact"/>
        <w:rPr>
          <w:sz w:val="20"/>
          <w:szCs w:val="20"/>
          <w:color w:val="auto"/>
        </w:rPr>
      </w:pPr>
    </w:p>
    <w:p>
      <w:pPr>
        <w:jc w:val="center"/>
        <w:ind w:left="1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3488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78"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Xing Wang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Xiang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71120</wp:posOffset>
            </wp:positionV>
            <wp:extent cx="20059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78"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Name: Xiang Li</w:t>
      </w:r>
    </w:p>
    <w:p>
      <w:pPr>
        <w:spacing w:after="0" w:line="15" w:lineRule="exact"/>
        <w:rPr>
          <w:sz w:val="20"/>
          <w:szCs w:val="20"/>
          <w:color w:val="auto"/>
        </w:rPr>
      </w:pPr>
    </w:p>
    <w:p>
      <w:pPr>
        <w:ind w:left="1820"/>
        <w:spacing w:after="0"/>
        <w:rPr>
          <w:sz w:val="20"/>
          <w:szCs w:val="20"/>
          <w:color w:val="auto"/>
        </w:rPr>
      </w:pP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Chairman and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4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Director and President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and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36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146050</wp:posOffset>
            </wp:positionV>
            <wp:extent cx="713613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July 27, 2020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July 27, 2020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July 27, 2020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July 27, 2020</w:t>
      </w:r>
    </w:p>
    <w:p>
      <w:pPr>
        <w:sectPr>
          <w:pgSz w:w="11900" w:h="16838" w:orient="portrait"/>
          <w:cols w:equalWidth="0" w:num="3">
            <w:col w:w="4540" w:space="720"/>
            <w:col w:w="3140" w:space="600"/>
            <w:col w:w="1720"/>
          </w:cols>
          <w:pgMar w:left="320" w:top="131" w:right="859" w:bottom="1440" w:gutter="0" w:footer="0" w:header="0"/>
          <w:type w:val="continuous"/>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Li Auto Inc. has signed this registration statement or amendment thereto in New York, New York on July 27, 2020.</w:t>
      </w:r>
    </w:p>
    <w:p>
      <w:pPr>
        <w:spacing w:after="0" w:line="180"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Authorized U.S. Representative</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Cogency Global Inc.</w:t>
      </w:r>
    </w:p>
    <w:p>
      <w:pPr>
        <w:spacing w:after="0" w:line="258"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p>
      <w:pPr>
        <w:spacing w:after="0" w:line="19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Name:</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Colleen A. De Vries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w:t>
      </w:r>
    </w:p>
    <w:p>
      <w:pPr>
        <w:spacing w:after="0" w:line="234" w:lineRule="exact"/>
        <w:rPr>
          <w:sz w:val="20"/>
          <w:szCs w:val="20"/>
          <w:color w:val="auto"/>
        </w:rPr>
      </w:pPr>
    </w:p>
    <w:p>
      <w:pPr>
        <w:sectPr>
          <w:pgSz w:w="11900" w:h="16838" w:orient="portrait"/>
          <w:cols w:equalWidth="0" w:num="2">
            <w:col w:w="6540" w:space="320"/>
            <w:col w:w="4280"/>
          </w:cols>
          <w:pgMar w:left="320" w:top="341" w:right="439" w:bottom="1440" w:gutter="0" w:footer="0" w:header="0"/>
          <w:type w:val="continuous"/>
        </w:sectPr>
      </w:pP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II INFORMATION NOT REQUIRED IN PROSPECTUS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6. INDEMNIFICATION OF DIRECTORS AND OFFICERS.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7. RECENT SALES OF UNREGISTERED SECURITIES.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8. EXHIBITS AND FINANCIAL STATEMENT SCHEDULES.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9.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Li Auto Inc. Exhibit Index</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SIGNATURE OF AUTHORIZED REPRESENTATIVE IN THE UNITED STATES</w:t>
        </w:r>
      </w:hyperlink>
    </w:p>
    <w:p>
      <w:pPr>
        <w:sectPr>
          <w:pgSz w:w="11900" w:h="16838" w:orient="portrait"/>
          <w:cols w:equalWidth="0" w:num="1">
            <w:col w:w="10139"/>
          </w:cols>
          <w:pgMar w:left="320" w:top="820"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 Auto Inc.</w:t>
      </w:r>
    </w:p>
    <w:p>
      <w:pPr>
        <w:spacing w:after="0" w:line="27" w:lineRule="exact"/>
        <w:rPr>
          <w:sz w:val="20"/>
          <w:szCs w:val="20"/>
          <w:color w:val="auto"/>
        </w:rPr>
      </w:pPr>
    </w:p>
    <w:p>
      <w:pPr>
        <w:ind w:left="4020" w:right="4020" w:firstLine="365"/>
        <w:spacing w:after="0" w:line="277" w:lineRule="auto"/>
        <w:tabs>
          <w:tab w:leader="none" w:pos="4609"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American Depositary Shares Representing [•] Class A Ordinary Shares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(Asia)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68th Floor, Cheung Kong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Queens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Capital Corporation Hong Kong Securities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29th Floor, One International Finance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Harbour View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several Underwriters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Li Auto Inc., an exempted company incorporated in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proposes, subject to the terms and conditions stated in this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to issue and sell to the Underwriters named in Schedule 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an aggregate of [•] American Depositary Shares, each representing [•] Class A ordinary shares, par value US$0.0001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of the Company, and, at the election of the Representatives on behalf of the Underwriters, up to [•] additional American Depositary Shares. The aggregate of [•] American Depositary Shares to be issued and sold by the Company are herein called the “</w:t>
      </w:r>
      <w:r>
        <w:rPr>
          <w:rFonts w:ascii="Arial" w:cs="Arial" w:eastAsia="Arial" w:hAnsi="Arial"/>
          <w:sz w:val="17"/>
          <w:szCs w:val="17"/>
          <w:b w:val="1"/>
          <w:bCs w:val="1"/>
          <w:color w:val="auto"/>
        </w:rPr>
        <w:t>Firm ADSs</w:t>
      </w:r>
      <w:r>
        <w:rPr>
          <w:rFonts w:ascii="Arial" w:cs="Arial" w:eastAsia="Arial" w:hAnsi="Arial"/>
          <w:sz w:val="17"/>
          <w:szCs w:val="17"/>
          <w:color w:val="auto"/>
        </w:rPr>
        <w:t>” and the aggregate of [•] additional American Depositary Shares to be issued and sold by the Company are herein called the “</w:t>
      </w:r>
      <w:r>
        <w:rPr>
          <w:rFonts w:ascii="Arial" w:cs="Arial" w:eastAsia="Arial" w:hAnsi="Arial"/>
          <w:sz w:val="17"/>
          <w:szCs w:val="17"/>
          <w:b w:val="1"/>
          <w:bCs w:val="1"/>
          <w:color w:val="auto"/>
        </w:rPr>
        <w:t>Optional ADSs</w:t>
      </w:r>
      <w:r>
        <w:rPr>
          <w:rFonts w:ascii="Arial" w:cs="Arial" w:eastAsia="Arial" w:hAnsi="Arial"/>
          <w:sz w:val="17"/>
          <w:szCs w:val="17"/>
          <w:color w:val="auto"/>
        </w:rPr>
        <w:t>.” The Firm ADSs and the Optional ADSs that the Underwriters elect to purchase pursuant to Section 2 hereof are herein collectively called the “</w:t>
      </w:r>
      <w:r>
        <w:rPr>
          <w:rFonts w:ascii="Arial" w:cs="Arial" w:eastAsia="Arial" w:hAnsi="Arial"/>
          <w:sz w:val="17"/>
          <w:szCs w:val="17"/>
          <w:b w:val="1"/>
          <w:bCs w:val="1"/>
          <w:color w:val="auto"/>
        </w:rPr>
        <w:t>ADSs</w:t>
      </w:r>
      <w:r>
        <w:rPr>
          <w:rFonts w:ascii="Arial" w:cs="Arial" w:eastAsia="Arial" w:hAnsi="Arial"/>
          <w:sz w:val="17"/>
          <w:szCs w:val="17"/>
          <w:color w:val="auto"/>
        </w:rPr>
        <w:t>.”</w:t>
      </w:r>
    </w:p>
    <w:p>
      <w:pPr>
        <w:spacing w:after="0" w:line="172"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color w:val="auto"/>
        </w:rPr>
        <w:t>The ADSs are to be issued pursuant to a deposit agreement (the “</w:t>
      </w:r>
      <w:r>
        <w:rPr>
          <w:rFonts w:ascii="Arial" w:cs="Arial" w:eastAsia="Arial" w:hAnsi="Arial"/>
          <w:sz w:val="18"/>
          <w:szCs w:val="18"/>
          <w:b w:val="1"/>
          <w:bCs w:val="1"/>
          <w:color w:val="auto"/>
        </w:rPr>
        <w:t>Deposit Agreement</w:t>
      </w:r>
      <w:r>
        <w:rPr>
          <w:rFonts w:ascii="Arial" w:cs="Arial" w:eastAsia="Arial" w:hAnsi="Arial"/>
          <w:sz w:val="18"/>
          <w:szCs w:val="18"/>
          <w:color w:val="auto"/>
        </w:rPr>
        <w:t>”), dated on or about [•], 2020, among the Company, Deutsche Bank Trust Company Americas, as depositary (the “</w:t>
      </w:r>
      <w:r>
        <w:rPr>
          <w:rFonts w:ascii="Arial" w:cs="Arial" w:eastAsia="Arial" w:hAnsi="Arial"/>
          <w:sz w:val="18"/>
          <w:szCs w:val="18"/>
          <w:b w:val="1"/>
          <w:bCs w:val="1"/>
          <w:color w:val="auto"/>
        </w:rPr>
        <w:t>Depositary</w:t>
      </w:r>
      <w:r>
        <w:rPr>
          <w:rFonts w:ascii="Arial" w:cs="Arial" w:eastAsia="Arial" w:hAnsi="Arial"/>
          <w:sz w:val="18"/>
          <w:szCs w:val="18"/>
          <w:color w:val="auto"/>
        </w:rPr>
        <w:t>”), and holders from time to time of the American Depositary Receipts (the “</w:t>
      </w:r>
      <w:r>
        <w:rPr>
          <w:rFonts w:ascii="Arial" w:cs="Arial" w:eastAsia="Arial" w:hAnsi="Arial"/>
          <w:sz w:val="18"/>
          <w:szCs w:val="18"/>
          <w:b w:val="1"/>
          <w:bCs w:val="1"/>
          <w:color w:val="auto"/>
        </w:rPr>
        <w:t>ADRs</w:t>
      </w:r>
      <w:r>
        <w:rPr>
          <w:rFonts w:ascii="Arial" w:cs="Arial" w:eastAsia="Arial" w:hAnsi="Arial"/>
          <w:sz w:val="18"/>
          <w:szCs w:val="18"/>
          <w:color w:val="auto"/>
        </w:rPr>
        <w:t>”) issued by the Depositary evidencing the American Depositary Shares]. The ADSs will represent the right to receive the Ordinary Shares deposited pursuant to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The Company represents and warrants to, and agrees with, each of the Underwriters that:</w:t>
      </w:r>
    </w:p>
    <w:p>
      <w:pPr>
        <w:spacing w:after="0" w:line="221" w:lineRule="exact"/>
        <w:rPr>
          <w:rFonts w:ascii="Arial" w:cs="Arial" w:eastAsia="Arial" w:hAnsi="Arial"/>
          <w:sz w:val="18"/>
          <w:szCs w:val="18"/>
          <w:color w:val="auto"/>
        </w:rPr>
      </w:pPr>
    </w:p>
    <w:p>
      <w:pPr>
        <w:ind w:left="1304" w:hanging="656"/>
        <w:spacing w:after="0" w:line="284" w:lineRule="auto"/>
        <w:tabs>
          <w:tab w:leader="none" w:pos="1325" w:val="left"/>
        </w:tabs>
        <w:numPr>
          <w:ilvl w:val="1"/>
          <w:numId w:val="8"/>
        </w:numPr>
        <w:rPr>
          <w:rFonts w:ascii="Arial" w:cs="Arial" w:eastAsia="Arial" w:hAnsi="Arial"/>
          <w:sz w:val="16"/>
          <w:szCs w:val="16"/>
          <w:color w:val="auto"/>
        </w:rPr>
      </w:pPr>
      <w:r>
        <w:rPr>
          <w:rFonts w:ascii="Arial" w:cs="Arial" w:eastAsia="Arial" w:hAnsi="Arial"/>
          <w:sz w:val="16"/>
          <w:szCs w:val="16"/>
          <w:color w:val="auto"/>
        </w:rPr>
        <w:t>A registration statement on Form F-1 (File No. 333-239812) (the “</w:t>
      </w:r>
      <w:r>
        <w:rPr>
          <w:rFonts w:ascii="Arial" w:cs="Arial" w:eastAsia="Arial" w:hAnsi="Arial"/>
          <w:sz w:val="16"/>
          <w:szCs w:val="16"/>
          <w:b w:val="1"/>
          <w:bCs w:val="1"/>
          <w:color w:val="auto"/>
        </w:rPr>
        <w:t>Initial Registration Statement</w:t>
      </w:r>
      <w:r>
        <w:rPr>
          <w:rFonts w:ascii="Arial" w:cs="Arial" w:eastAsia="Arial" w:hAnsi="Arial"/>
          <w:sz w:val="16"/>
          <w:szCs w:val="16"/>
          <w:color w:val="auto"/>
        </w:rPr>
        <w:t>”) in respect of the Ordinary Shares has been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the Initial Registration Statement and any post-effective amendment thereto, each in the form heretofore delivered to you, have been declared effective by the Commission in such form; a registration statement on Form F-6 (File No. 333-240079) relating to the ADSs has been filed with the Commission and such registration statement has become effective (such registration statement on Form F-6, including all exhibits thereto, as amended through the time such registration statement becomes effective, being hereinafter referred to as the “</w:t>
      </w:r>
      <w:r>
        <w:rPr>
          <w:rFonts w:ascii="Arial" w:cs="Arial" w:eastAsia="Arial" w:hAnsi="Arial"/>
          <w:sz w:val="16"/>
          <w:szCs w:val="16"/>
          <w:b w:val="1"/>
          <w:bCs w:val="1"/>
          <w:color w:val="auto"/>
        </w:rPr>
        <w:t>ADS Registration Statement</w:t>
      </w:r>
      <w:r>
        <w:rPr>
          <w:rFonts w:ascii="Arial" w:cs="Arial" w:eastAsia="Arial" w:hAnsi="Arial"/>
          <w:sz w:val="16"/>
          <w:szCs w:val="16"/>
          <w:color w:val="auto"/>
        </w:rPr>
        <w:t>”). The Company has also filed, in accordance with Section 12 of the Exchange Act (as defined below), a registration statement on Form 8-A (File No. 001-39407) (the “</w:t>
      </w:r>
      <w:r>
        <w:rPr>
          <w:rFonts w:ascii="Arial" w:cs="Arial" w:eastAsia="Arial" w:hAnsi="Arial"/>
          <w:sz w:val="16"/>
          <w:szCs w:val="16"/>
          <w:b w:val="1"/>
          <w:bCs w:val="1"/>
          <w:color w:val="auto"/>
        </w:rPr>
        <w:t>Form 8-A Registration Statement</w:t>
      </w:r>
      <w:r>
        <w:rPr>
          <w:rFonts w:ascii="Arial" w:cs="Arial" w:eastAsia="Arial" w:hAnsi="Arial"/>
          <w:sz w:val="16"/>
          <w:szCs w:val="16"/>
          <w:color w:val="auto"/>
        </w:rPr>
        <w:t>”) to register, under Section 12(b) of the Exchange Act, the Ordinary Shares and the ADSs. Other than a registration statement, if any, increasing the size of the offering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filed pursuant to Rule 462(b)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which became effective upon filing, no other document with respect to the Initial Registration Statement has been filed with the Commission; and no stop order suspending the effectiveness of the Initial Registration Statement, any post-effective amendment thereto, the ADS Registration Statement, the Form 8-A Registration Statement or the Rule 462(b) Registration Statement, if any, has been issued and no proceeding for that purpose has been initiated or threatened by the Commission (any preliminary prospectus included in the Initial Registration Statement or filed with the Commission pursuant to Rule 424(a) under the Act is hereinafter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Preliminary Prospectus relating to the Ordinary Shares that was included in the Registration Statement immediately prior to the Applicable Time (as defined in Section 1(a)(iii) hereof) is hereinafter called the “</w:t>
      </w:r>
      <w:r>
        <w:rPr>
          <w:rFonts w:ascii="Arial" w:cs="Arial" w:eastAsia="Arial" w:hAnsi="Arial"/>
          <w:sz w:val="16"/>
          <w:szCs w:val="16"/>
          <w:b w:val="1"/>
          <w:bCs w:val="1"/>
          <w:color w:val="auto"/>
        </w:rPr>
        <w:t>Pricing Prospectus</w:t>
      </w:r>
      <w:r>
        <w:rPr>
          <w:rFonts w:ascii="Arial" w:cs="Arial" w:eastAsia="Arial" w:hAnsi="Arial"/>
          <w:sz w:val="16"/>
          <w:szCs w:val="16"/>
          <w:color w:val="auto"/>
        </w:rPr>
        <w:t>”; such final prospectus, in the form first filed pursuant to Rule 424(b) under the Act,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any oral or written communication with potential investors undertaken in reliance on Section 5(d) of the Act is hereinafter called a “</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and any Testing-the-Waters Communication that is a written communication within the meaning of Rule 405 under the Act is hereinafter called a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and any “issuer free writing prospectus” as defined in Rule 433 under the Act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Ordinary Shares is hereinafter called an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w:t>
      </w:r>
    </w:p>
    <w:p>
      <w:pPr>
        <w:spacing w:after="0" w:line="38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1532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18" w:name="page19"/>
    <w:bookmarkEnd w:id="18"/>
    <w:p>
      <w:pPr>
        <w:ind w:left="840" w:hanging="656"/>
        <w:spacing w:after="0" w:line="272" w:lineRule="auto"/>
        <w:tabs>
          <w:tab w:leader="none" w:pos="871" w:val="left"/>
        </w:tabs>
        <w:numPr>
          <w:ilvl w:val="0"/>
          <w:numId w:val="9"/>
        </w:numPr>
        <w:rPr>
          <w:rFonts w:ascii="Arial" w:cs="Arial" w:eastAsia="Arial" w:hAnsi="Arial"/>
          <w:sz w:val="17"/>
          <w:szCs w:val="17"/>
          <w:color w:val="auto"/>
        </w:rPr>
      </w:pPr>
      <w:r>
        <w:rPr>
          <w:rFonts w:ascii="Arial" w:cs="Arial" w:eastAsia="Arial" w:hAnsi="Arial"/>
          <w:sz w:val="17"/>
          <w:szCs w:val="17"/>
          <w:color w:val="auto"/>
        </w:rPr>
        <w:t>(A) No order preventing or suspending the use of any Preliminary Prospectus or any Issuer Free Writing Prospectus has been issued by the Commission, and (B) the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hereof)</w:t>
      </w:r>
      <w:r>
        <w:rPr>
          <w:rFonts w:ascii="Arial" w:cs="Arial" w:eastAsia="Arial" w:hAnsi="Arial"/>
          <w:sz w:val="17"/>
          <w:szCs w:val="17"/>
          <w:b w:val="1"/>
          <w:bCs w:val="1"/>
          <w:color w:val="auto"/>
        </w:rPr>
        <w:t>;</w:t>
      </w:r>
    </w:p>
    <w:p>
      <w:pPr>
        <w:spacing w:after="0" w:line="173" w:lineRule="exact"/>
        <w:rPr>
          <w:rFonts w:ascii="Arial" w:cs="Arial" w:eastAsia="Arial" w:hAnsi="Arial"/>
          <w:sz w:val="17"/>
          <w:szCs w:val="17"/>
          <w:color w:val="auto"/>
        </w:rPr>
      </w:pPr>
    </w:p>
    <w:p>
      <w:pPr>
        <w:ind w:left="840" w:hanging="656"/>
        <w:spacing w:after="0" w:line="269"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the purposes of this Agreement, the “</w:t>
      </w:r>
      <w:r>
        <w:rPr>
          <w:rFonts w:ascii="Arial" w:cs="Arial" w:eastAsia="Arial" w:hAnsi="Arial"/>
          <w:sz w:val="17"/>
          <w:szCs w:val="17"/>
          <w:b w:val="1"/>
          <w:bCs w:val="1"/>
          <w:color w:val="auto"/>
        </w:rPr>
        <w:t>Applicable Time</w:t>
      </w:r>
      <w:r>
        <w:rPr>
          <w:rFonts w:ascii="Arial" w:cs="Arial" w:eastAsia="Arial" w:hAnsi="Arial"/>
          <w:sz w:val="17"/>
          <w:szCs w:val="17"/>
          <w:color w:val="auto"/>
        </w:rPr>
        <w:t>” is [•]: [•] [am/pm] (Eastern time) on the date of this Agreement; the Pricing Prospectus, as supplemented by the information listed on Schedule III(c) hereto, taken together (collectively, the “</w:t>
      </w:r>
      <w:r>
        <w:rPr>
          <w:rFonts w:ascii="Arial" w:cs="Arial" w:eastAsia="Arial" w:hAnsi="Arial"/>
          <w:sz w:val="17"/>
          <w:szCs w:val="17"/>
          <w:b w:val="1"/>
          <w:bCs w:val="1"/>
          <w:color w:val="auto"/>
        </w:rPr>
        <w:t>Pricing Disclosure Package</w:t>
      </w:r>
      <w:r>
        <w:rPr>
          <w:rFonts w:ascii="Arial" w:cs="Arial" w:eastAsia="Arial" w:hAnsi="Arial"/>
          <w:sz w:val="17"/>
          <w:szCs w:val="17"/>
          <w:color w:val="auto"/>
        </w:rPr>
        <w:t>”), as of the Applicable Time, did not, and as of each Time of Delivery (as defined in Section 4 hereof)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(as defined in Section 4 hereof),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 (as defined in Section 9(b) hereof);</w:t>
      </w:r>
    </w:p>
    <w:p>
      <w:pPr>
        <w:spacing w:after="0" w:line="179" w:lineRule="exact"/>
        <w:rPr>
          <w:rFonts w:ascii="Arial" w:cs="Arial" w:eastAsia="Arial" w:hAnsi="Arial"/>
          <w:sz w:val="17"/>
          <w:szCs w:val="17"/>
          <w:color w:val="auto"/>
        </w:rPr>
      </w:pPr>
    </w:p>
    <w:p>
      <w:pPr>
        <w:ind w:left="840" w:right="60" w:hanging="656"/>
        <w:spacing w:after="0" w:line="268" w:lineRule="auto"/>
        <w:tabs>
          <w:tab w:leader="none" w:pos="85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as of the date of this Agreement and as of each Time of Delivery (as defined in Section 4 hereof),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 (as defined in Section 9(b) hereof); the ADS Registration Statement when it became effective conformed, and any further amendments thereto will conform, in all material respects to the requirements of the Act and the rules and regulations of the Commission thereunder, and did not and will not, as of the applicable effective date, contain an untrue statement of a material fact or omit to state a material fact required to be stated therein or necessary to make the statements therein not misleading; and the Form 8-A Registration Statement when it became effective conformed, and any further amendments thereto will conform, in all material respects to the requirements of the Exchange Act and the rules and regulations of the Commission thereunder, and did not and will not, as of the applicable effective date, contain an untrue statement of a material fact or omit to state a material fact required to be stated therein or necessary to make the statements therein not misleading;</w:t>
      </w:r>
    </w:p>
    <w:p>
      <w:pPr>
        <w:spacing w:after="0" w:line="18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19" w:name="page20"/>
    <w:bookmarkEnd w:id="19"/>
    <w:p>
      <w:pPr>
        <w:ind w:left="840" w:hanging="656"/>
        <w:spacing w:after="0" w:line="285" w:lineRule="auto"/>
        <w:tabs>
          <w:tab w:leader="none" w:pos="8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Company’s subsidiaries, its consolidated variable interest entities (the “</w:t>
      </w:r>
      <w:r>
        <w:rPr>
          <w:rFonts w:ascii="Arial" w:cs="Arial" w:eastAsia="Arial" w:hAnsi="Arial"/>
          <w:sz w:val="16"/>
          <w:szCs w:val="16"/>
          <w:b w:val="1"/>
          <w:bCs w:val="1"/>
          <w:color w:val="auto"/>
        </w:rPr>
        <w:t>VIEs</w:t>
      </w:r>
      <w:r>
        <w:rPr>
          <w:rFonts w:ascii="Arial" w:cs="Arial" w:eastAsia="Arial" w:hAnsi="Arial"/>
          <w:sz w:val="16"/>
          <w:szCs w:val="16"/>
          <w:color w:val="auto"/>
        </w:rPr>
        <w:t>”) and their respective subsidiaries listed in Schedule II hereto shall be referred to hereinafter each as a “</w:t>
      </w:r>
      <w:r>
        <w:rPr>
          <w:rFonts w:ascii="Arial" w:cs="Arial" w:eastAsia="Arial" w:hAnsi="Arial"/>
          <w:sz w:val="16"/>
          <w:szCs w:val="16"/>
          <w:b w:val="1"/>
          <w:bCs w:val="1"/>
          <w:color w:val="auto"/>
        </w:rPr>
        <w:t>Controlled Entity</w:t>
      </w:r>
      <w:r>
        <w:rPr>
          <w:rFonts w:ascii="Arial" w:cs="Arial" w:eastAsia="Arial" w:hAnsi="Arial"/>
          <w:sz w:val="16"/>
          <w:szCs w:val="16"/>
          <w:color w:val="auto"/>
        </w:rPr>
        <w:t>” and collectively as “</w:t>
      </w:r>
      <w:r>
        <w:rPr>
          <w:rFonts w:ascii="Arial" w:cs="Arial" w:eastAsia="Arial" w:hAnsi="Arial"/>
          <w:sz w:val="16"/>
          <w:szCs w:val="16"/>
          <w:b w:val="1"/>
          <w:bCs w:val="1"/>
          <w:color w:val="auto"/>
        </w:rPr>
        <w:t>Controlled Entities</w:t>
      </w:r>
      <w:r>
        <w:rPr>
          <w:rFonts w:ascii="Arial" w:cs="Arial" w:eastAsia="Arial" w:hAnsi="Arial"/>
          <w:sz w:val="16"/>
          <w:szCs w:val="16"/>
          <w:color w:val="auto"/>
        </w:rPr>
        <w:t>.” Neither the Company nor any of the Controlled Entities has, since the date of the latest audited financial statements included in the Registration Statement, the Pricing Prospectus and the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the Controlled Entities taken as a whole or incurred any liability or obligation, direct or contingent, that is material to the Company and the Controlled Entities taken as a whole, in each case otherwise than as set forth or contemplated in the Registration Statement, the Pricing Prospectus and the Prospectus; and, since the respective dates as of which information is given in the Registration Statement, the Pricing Prospectus and the Prospectus, there has not been (x) any material adverse change in the issued shares (other than as a result of (i) the exercise, if any, of share options or the award, if any, of share options or restricted shares in the ordinary course of business pursuant to the Company’s equity plans that are described in the Registration Statement, the Pricing Prospectus and the Prospectus or (ii) the issuance, if any, of shares upon conversion of Company securities as described in the Registration Statement, the Pricing Prospectus and the Prospectus), short-term debt or long-term debt of the Company or any of the Controlled Entities or (y) any Material Adverse Effect (as defined below); as used in this Agreement, “</w:t>
      </w:r>
      <w:r>
        <w:rPr>
          <w:rFonts w:ascii="Arial" w:cs="Arial" w:eastAsia="Arial" w:hAnsi="Arial"/>
          <w:sz w:val="16"/>
          <w:szCs w:val="16"/>
          <w:b w:val="1"/>
          <w:bCs w:val="1"/>
          <w:color w:val="auto"/>
        </w:rPr>
        <w:t>Material Adverse Effect</w:t>
      </w:r>
      <w:r>
        <w:rPr>
          <w:rFonts w:ascii="Arial" w:cs="Arial" w:eastAsia="Arial" w:hAnsi="Arial"/>
          <w:sz w:val="16"/>
          <w:szCs w:val="16"/>
          <w:color w:val="auto"/>
        </w:rPr>
        <w:t>” shall mean any material adverse change or effect, or any development involving a prospective material adverse change or effect, in or affecting (i) the business, properties, general affairs, management, financial position, shareholders’ equity or results of operations of the Company and the Controlled Entities, taken as a whole, except as set forth or contemplated in the Registration Statement, the Pricing Prospectus and the Prospectus, or (ii) the ability of the Company to perform its obligations under this Agreement or the Deposit Agreement, including the issuance and sale of the ADSs, or to consummate the transactions contemplated in this Agreement;</w:t>
      </w:r>
    </w:p>
    <w:p>
      <w:pPr>
        <w:spacing w:after="0" w:line="16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80"/>
          </w:cols>
          <w:pgMar w:left="1440" w:top="337" w:right="379" w:bottom="1440" w:gutter="0" w:footer="0" w:header="0"/>
        </w:sectPr>
      </w:pPr>
    </w:p>
    <w:bookmarkStart w:id="20" w:name="page21"/>
    <w:bookmarkEnd w:id="20"/>
    <w:p>
      <w:pPr>
        <w:ind w:left="840" w:right="20" w:hanging="656"/>
        <w:spacing w:after="0" w:line="289" w:lineRule="auto"/>
        <w:tabs>
          <w:tab w:leader="none" w:pos="85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the Controlled Entities have good and marketable title (or, in the case of a real property located in the PRC, valid land use rights and real property ownership certificates with respect to such real property) to the real property and personal property owned by them which are in each case material to the business of the Company and the Controlled Entities taken as a whole, free and clear of all liens, encumbrances and defects except such as are described in the Registration Statement, the Pricing Prospectus and the Prospectus or such as do not materially affect the value of such property and do not interfere with the use made and proposed to be made of such property by the Company and the Controlled Entities; and any real property and buildings held under lease by the Company and the Controlled Entities are held by them under valid, subsisting and enforceable leases with such exceptions as are not material and do not materially interfere with the use made and proposed to be made of such property and buildings by the Company and the Controlled Entities;</w:t>
      </w:r>
    </w:p>
    <w:p>
      <w:pPr>
        <w:spacing w:after="0" w:line="166" w:lineRule="exact"/>
        <w:rPr>
          <w:rFonts w:ascii="Arial" w:cs="Arial" w:eastAsia="Arial" w:hAnsi="Arial"/>
          <w:sz w:val="16"/>
          <w:szCs w:val="16"/>
          <w:color w:val="auto"/>
        </w:rPr>
      </w:pPr>
    </w:p>
    <w:p>
      <w:pPr>
        <w:ind w:left="840" w:hanging="656"/>
        <w:spacing w:after="0" w:line="268" w:lineRule="auto"/>
        <w:tabs>
          <w:tab w:leader="none" w:pos="866"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of the Company and each of the Controlled Entities has been (i) duly organized and is validly existing and in good standing under the laws of its jurisdiction of incorporation, with power and authority (corporate and other) to own its properties and conduct its business as described in the Registration Statement, Pricing Prospectus and the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have a Material Adverse Effect; and each Controlled Entity has been listed in the Registration Statement. The currently effective memorandum and articles of association or other constitutional or organizational documents of the Company comply with the requirements of applicable Cayman Islands law and are in in full force and effect, and the fourth amended and restated memorandum and articles of association of the Company adopted by special resolution passed on July 9, 2020, effective immediately prior to the closing of the offering of the ADSs, filed as Exhibit 3.5 to the Registration Statement, or other constitutional or organizational documents of the Company comply with the requirements of applicable Cayman Islands law and, immediately prior to the closing of the offering of the ADSs, will be in full force and effect;</w:t>
      </w:r>
    </w:p>
    <w:p>
      <w:pPr>
        <w:spacing w:after="0" w:line="1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21" w:name="page22"/>
    <w:bookmarkEnd w:id="21"/>
    <w:p>
      <w:pPr>
        <w:ind w:left="840" w:right="60" w:hanging="656"/>
        <w:spacing w:after="0" w:line="255" w:lineRule="auto"/>
        <w:tabs>
          <w:tab w:leader="none" w:pos="8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has an authorized share capital as set forth in the Registration Statement, the Pricing Prospectus and the Prospectus and all of the issued shares of the Company, have been duly and validly authorized and issued and are fully paid and non-assessable and conform to their description contained in the Pricing Disclosure Package and the Prospectus; and all of the issued shares of each Controlled Entity of the Company have been duly and validly authorized and issued, are fully paid and non-assessable and are owned directly, indirectly or beneficially by the Company, free and clear of all liens, encumbrances, equities or claims, except as pursuant to VIE Agreements.;</w:t>
      </w:r>
    </w:p>
    <w:p>
      <w:pPr>
        <w:spacing w:after="0" w:line="192" w:lineRule="exact"/>
        <w:rPr>
          <w:rFonts w:ascii="Arial" w:cs="Arial" w:eastAsia="Arial" w:hAnsi="Arial"/>
          <w:sz w:val="18"/>
          <w:szCs w:val="18"/>
          <w:color w:val="auto"/>
        </w:rPr>
      </w:pPr>
    </w:p>
    <w:p>
      <w:pPr>
        <w:ind w:left="840" w:right="200" w:hanging="656"/>
        <w:spacing w:after="0" w:line="259" w:lineRule="auto"/>
        <w:tabs>
          <w:tab w:leader="none" w:pos="8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Ordinary Shares to be issued and sold by the Company have been duly and validly authorized and, when issued and registered in the Company’s register of members, will be duly and validly issued and fully paid and non-assessable and will conform to their description contained in the Pricing Disclosure Package and the Prospectus; and the issuance of the Ordinary Shares is not in violation of any preemptive or similar rights;</w:t>
      </w:r>
    </w:p>
    <w:p>
      <w:pPr>
        <w:spacing w:after="0" w:line="186" w:lineRule="exact"/>
        <w:rPr>
          <w:rFonts w:ascii="Arial" w:cs="Arial" w:eastAsia="Arial" w:hAnsi="Arial"/>
          <w:sz w:val="18"/>
          <w:szCs w:val="18"/>
          <w:color w:val="auto"/>
        </w:rPr>
      </w:pPr>
    </w:p>
    <w:p>
      <w:pPr>
        <w:ind w:left="840" w:hanging="656"/>
        <w:spacing w:after="0" w:line="271" w:lineRule="auto"/>
        <w:tabs>
          <w:tab w:leader="none" w:pos="84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Deposit Agreement has been duly authorized and, when executed and delivered by the Company and, assuming due authorization, execution and delivery by the Depositary, will constitute a valid and legally binding agreement of the Company, enforceable in accordance with its terms, subject, as to enforceability, to bankruptcy, insolvency, reorganization and similar laws of general applicability relating to or affecting creditors’ rights and to general equity principles. Upon the due issuance by the Depositary of the ADRs evidencing the ADSs against the deposit of the Ordinary Shares in accordance with the provisions of the Deposit Agreement, such ADRs evidencing the ADSs will be duly and validly issued under the Deposit Agreement and persons in whose names such ADRs evidencing the ADSs are registered will be entitled to the rights of registered holders of such ADRs evidencing the ADSs specified therein and in the Deposit Agreement;</w:t>
      </w:r>
    </w:p>
    <w:p>
      <w:pPr>
        <w:spacing w:after="0" w:line="178" w:lineRule="exact"/>
        <w:rPr>
          <w:rFonts w:ascii="Arial" w:cs="Arial" w:eastAsia="Arial" w:hAnsi="Arial"/>
          <w:sz w:val="17"/>
          <w:szCs w:val="17"/>
          <w:color w:val="auto"/>
        </w:rPr>
      </w:pPr>
    </w:p>
    <w:p>
      <w:pPr>
        <w:ind w:left="840" w:right="140" w:hanging="656"/>
        <w:spacing w:after="0" w:line="263" w:lineRule="auto"/>
        <w:tabs>
          <w:tab w:leader="none" w:pos="8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the Company nor any of its Controlled Entities has taken any action which is designed to or which has constituted or which might have been expected to cause or result in stabilization or manipulation of the price of any security of the Company in connection with the sale or resale of the ADSs;</w:t>
      </w:r>
    </w:p>
    <w:p>
      <w:pPr>
        <w:spacing w:after="0" w:line="183" w:lineRule="exact"/>
        <w:rPr>
          <w:rFonts w:ascii="Arial" w:cs="Arial" w:eastAsia="Arial" w:hAnsi="Arial"/>
          <w:sz w:val="18"/>
          <w:szCs w:val="18"/>
          <w:color w:val="auto"/>
        </w:rPr>
      </w:pPr>
    </w:p>
    <w:p>
      <w:pPr>
        <w:ind w:left="840" w:right="60" w:hanging="656"/>
        <w:spacing w:after="0" w:line="263" w:lineRule="auto"/>
        <w:tabs>
          <w:tab w:leader="none" w:pos="8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no contracts, agreements or understandings between the Company and any person (other than this Agreement) that would give rise to a valid claim against the Company or the Underwriters for a brokerage commission, finder’s fee or other like payment in connection with this offering;</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80"/>
          </w:cols>
          <w:pgMar w:left="1440" w:top="341" w:right="379" w:bottom="1440" w:gutter="0" w:footer="0" w:header="0"/>
        </w:sectPr>
      </w:pPr>
    </w:p>
    <w:bookmarkStart w:id="22" w:name="page23"/>
    <w:bookmarkEnd w:id="22"/>
    <w:p>
      <w:pPr>
        <w:ind w:left="840" w:right="80" w:hanging="656"/>
        <w:spacing w:after="0" w:line="272" w:lineRule="auto"/>
        <w:tabs>
          <w:tab w:leader="none" w:pos="8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Pricing Prospectus and the Prospectus, there are no contracts, agreements 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the Registration Statement, the ADS Registration Statement or in any securities being registered pursuant to any other registration statement filed by the Company under the Act, and any person to whom the Company has granted registration rights has agreed not to exercise such rights until after the expiration of the Lock-Up Period as defined herein;</w:t>
      </w:r>
    </w:p>
    <w:p>
      <w:pPr>
        <w:spacing w:after="0" w:line="177" w:lineRule="exact"/>
        <w:rPr>
          <w:rFonts w:ascii="Arial" w:cs="Arial" w:eastAsia="Arial" w:hAnsi="Arial"/>
          <w:sz w:val="17"/>
          <w:szCs w:val="17"/>
          <w:color w:val="auto"/>
        </w:rPr>
      </w:pPr>
    </w:p>
    <w:p>
      <w:pPr>
        <w:ind w:left="840" w:hanging="656"/>
        <w:spacing w:after="0" w:line="285" w:lineRule="auto"/>
        <w:tabs>
          <w:tab w:leader="none" w:pos="8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issue of the Ordinary Shares to be sold by the Company, the deposit of the Ordinary Shares with the Depositary, the issue and sale of the ADSs, the execution and delivery of this Agreement and the compliance by the Company with this Agreement and the Deposit Agreement, and the consummation of the transactions contemplated in this Agreement, the Deposit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the Controlled Entities is a party or by which the Company or any of the Controlled Entities is bound or to which any of the property or assets of the Company or any of the Controlled Entities is subject, except, in the case of this clause (A) for such defaults, breaches, or violations that would not, individually or in the aggregate, have a Material Adverse Effect, (B) the certificate of incorporation or by-laws (or other applicable organizational document) of the Company or any of the Controlled Entities, or (C) any statute or any judgment, order, rule or regulation of any court or governmental agency or body having jurisdiction over the Company or any of the Controlled Entities or any of their properties; and no consent, approval, authorization, order, registration or qualification of or with any such court or governmental agency or body is required for the issue of the Ordinary Shares to be sold by the Company, the deposit of the Ordinary Shares with the Depositary, the issue and sale of the ADSs, the performance by the Company of its obligations under this Agreement and the Deposit Agreement, or the consummation by the Company of the transactions contemplated by this Agreement and the Deposit Agreement, except such as have been obtained, the approval by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of the underwriting terms and arrangements and such consents, approvals, authorizations, orders, registrations or qualifications as may be required under state securities or Blue Sky laws in connection with the purchase and distribution of the ADSs by the Underwriters;</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23" w:name="page24"/>
    <w:bookmarkEnd w:id="23"/>
    <w:p>
      <w:pPr>
        <w:ind w:left="840" w:right="60" w:hanging="656"/>
        <w:spacing w:after="0" w:line="259" w:lineRule="auto"/>
        <w:tabs>
          <w:tab w:leader="none" w:pos="8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no affiliations or associations between (A) any member of FINRA and (B) the Company or any of the Company’s officers, directors or 5% or greater security holders or any beneficial owner of the Company’s unregistered equity securities that were acquired at any time on or after the 180th day immediately preceding the date the Registration Statement was first filed with the Commission;</w:t>
      </w:r>
    </w:p>
    <w:p>
      <w:pPr>
        <w:spacing w:after="0" w:line="186" w:lineRule="exact"/>
        <w:rPr>
          <w:rFonts w:ascii="Arial" w:cs="Arial" w:eastAsia="Arial" w:hAnsi="Arial"/>
          <w:sz w:val="18"/>
          <w:szCs w:val="18"/>
          <w:color w:val="auto"/>
        </w:rPr>
      </w:pPr>
    </w:p>
    <w:p>
      <w:pPr>
        <w:ind w:left="840" w:hanging="656"/>
        <w:spacing w:after="0" w:line="287" w:lineRule="auto"/>
        <w:tabs>
          <w:tab w:leader="none" w:pos="8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for any net income, capital gains or franchise taxes imposed on the Underwriters by the People’s Republic of China (the “PRC”), Hong Kong, and the Cayman Islands as a result of any present or former connection (other than any connection solely resulting from the transactions contemplated by this Agreement and the Deposit Agreement) between the Underwriters and the jurisdiction imposing such tax, no stamp or other issuance, capital, value-added, documentary or transfer taxes or duties and no capital gains, income, withholding or other taxes are payable by or on behalf of the Underwriters to the PRC, Hong Kong, the Cayman Islands or any political subdivision or taxing authority thereof or therein or in connection with (A) the issuance of the Ordinary Shares and their deposit with the Depositary; (B) the issuance of the ADSs by the Depositary; (C) the sale and delivery of the ADSs by the Underwriters as part of the Underwriters’ distribution of the ADSs as contemplated hereunder; and (D) the execution, delivery, performance and admission in court proceedings of this Agreement and the Deposit Agreement and the consummation of the transactions contemplated hereby and thereby, save that this Agreement and the Deposit Agreement may be subject to Cayman Islands stamp duty if they are executed in or brought into the Cayman Islands;</w:t>
      </w:r>
    </w:p>
    <w:p>
      <w:pPr>
        <w:spacing w:after="0" w:line="171" w:lineRule="exact"/>
        <w:rPr>
          <w:rFonts w:ascii="Arial" w:cs="Arial" w:eastAsia="Arial" w:hAnsi="Arial"/>
          <w:sz w:val="16"/>
          <w:szCs w:val="16"/>
          <w:color w:val="auto"/>
        </w:rPr>
      </w:pPr>
    </w:p>
    <w:p>
      <w:pPr>
        <w:ind w:left="860" w:hanging="67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VIE Agreements and Corporate Structure.</w:t>
      </w:r>
    </w:p>
    <w:p>
      <w:pPr>
        <w:spacing w:after="0" w:line="225" w:lineRule="exact"/>
        <w:rPr>
          <w:rFonts w:ascii="Arial" w:cs="Arial" w:eastAsia="Arial" w:hAnsi="Arial"/>
          <w:sz w:val="18"/>
          <w:szCs w:val="18"/>
          <w:color w:val="auto"/>
        </w:rPr>
      </w:pPr>
    </w:p>
    <w:p>
      <w:pPr>
        <w:ind w:left="840" w:right="20" w:hanging="8"/>
        <w:spacing w:after="0" w:line="272" w:lineRule="auto"/>
        <w:tabs>
          <w:tab w:leader="none" w:pos="1132"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description of the corporate structure of the Company and the agreements under the caption “Corporate History and Structure” in the Registration Statement, the Pricing Prospectus and the Prospectus by and among the Company’s subsidiaries, the VIEs, and the shareholders of such VIEs, as the case may be (each a “</w:t>
      </w:r>
      <w:r>
        <w:rPr>
          <w:rFonts w:ascii="Arial" w:cs="Arial" w:eastAsia="Arial" w:hAnsi="Arial"/>
          <w:sz w:val="17"/>
          <w:szCs w:val="17"/>
          <w:b w:val="1"/>
          <w:bCs w:val="1"/>
          <w:color w:val="auto"/>
        </w:rPr>
        <w:t>VIE Agreement</w:t>
      </w:r>
      <w:r>
        <w:rPr>
          <w:rFonts w:ascii="Arial" w:cs="Arial" w:eastAsia="Arial" w:hAnsi="Arial"/>
          <w:sz w:val="17"/>
          <w:szCs w:val="17"/>
          <w:color w:val="auto"/>
        </w:rPr>
        <w:t>” and collectively, the “</w:t>
      </w:r>
      <w:r>
        <w:rPr>
          <w:rFonts w:ascii="Arial" w:cs="Arial" w:eastAsia="Arial" w:hAnsi="Arial"/>
          <w:sz w:val="17"/>
          <w:szCs w:val="17"/>
          <w:b w:val="1"/>
          <w:bCs w:val="1"/>
          <w:color w:val="auto"/>
        </w:rPr>
        <w:t>VIE</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Agreements</w:t>
      </w:r>
      <w:r>
        <w:rPr>
          <w:rFonts w:ascii="Arial" w:cs="Arial" w:eastAsia="Arial" w:hAnsi="Arial"/>
          <w:sz w:val="17"/>
          <w:szCs w:val="17"/>
          <w:color w:val="auto"/>
        </w:rPr>
        <w:t>”), is true and accurate in all material respects and nothing has been omitted from such description which would</w:t>
      </w:r>
      <w:r>
        <w:rPr>
          <w:rFonts w:ascii="Arial" w:cs="Arial" w:eastAsia="Arial" w:hAnsi="Arial"/>
          <w:sz w:val="17"/>
          <w:szCs w:val="17"/>
          <w:b w:val="1"/>
          <w:bCs w:val="1"/>
          <w:color w:val="auto"/>
        </w:rPr>
        <w:t xml:space="preserve"> </w:t>
      </w:r>
      <w:r>
        <w:rPr>
          <w:rFonts w:ascii="Arial" w:cs="Arial" w:eastAsia="Arial" w:hAnsi="Arial"/>
          <w:sz w:val="17"/>
          <w:szCs w:val="17"/>
          <w:color w:val="auto"/>
        </w:rPr>
        <w:t>make it misleading, and there is no other material agreement relating to the corporate structure or the operation of the Company and the Controlled Entities taken as a whole, which has not been previously disclosed or made available to the Underwriters and disclosed in the Registration Statement, the Pricing Prospectus and the Prospectus.</w:t>
      </w:r>
    </w:p>
    <w:p>
      <w:pPr>
        <w:spacing w:after="0" w:line="177" w:lineRule="exact"/>
        <w:rPr>
          <w:rFonts w:ascii="Arial" w:cs="Arial" w:eastAsia="Arial" w:hAnsi="Arial"/>
          <w:sz w:val="17"/>
          <w:szCs w:val="17"/>
          <w:color w:val="auto"/>
        </w:rPr>
      </w:pPr>
    </w:p>
    <w:p>
      <w:pPr>
        <w:ind w:left="840" w:right="40" w:hanging="8"/>
        <w:spacing w:after="0" w:line="268" w:lineRule="auto"/>
        <w:tabs>
          <w:tab w:leader="none" w:pos="1125" w:val="left"/>
        </w:tabs>
        <w:numPr>
          <w:ilvl w:val="1"/>
          <w:numId w:val="14"/>
        </w:numPr>
        <w:rPr>
          <w:rFonts w:ascii="Arial" w:cs="Arial" w:eastAsia="Arial" w:hAnsi="Arial"/>
          <w:sz w:val="17"/>
          <w:szCs w:val="17"/>
          <w:color w:val="auto"/>
        </w:rPr>
      </w:pPr>
      <w:r>
        <w:rPr>
          <w:rFonts w:ascii="Arial" w:cs="Arial" w:eastAsia="Arial" w:hAnsi="Arial"/>
          <w:sz w:val="17"/>
          <w:szCs w:val="17"/>
          <w:color w:val="auto"/>
        </w:rPr>
        <w:t>Each party to any VIE Agreement has the legal right, power and authority (corporate and other, as the case may be) to enter into and perform its obligations under such agreements and has taken all necessary corporate action to authorize the execution, delivery and performance of, and has authorized, executed and delivered each such agreement. Each VIE Agreement constitutes a valid and legally binding obligation of the parties thereto, enforceable in accordance with its terms. No consent, approval, authorization, or order of, or filing or registration with, any person (including any governmental agency or body or any court) is required for the performance of the obligations under any VIE Agreement by the parties thereto; and no consent, approval, authorization, order, filing or registration that has been obtained is being withdrawn or revoked or is subject to any condition precedent which has not been fulfilled or performed. The corporate structure of the Company comply with all applicable laws and regulations of the PRC except as disclosed in the Registration Statement, the Pricing Prospectus and the Prospectus, and neither the corporate structure nor the VIE Agreements violates, breaches, contravenes or otherwise conflicts with any applicable laws of the PRC. There is no legal or governmental proceeding, inquiry or investigation pending against the Company, the subsidiaries and the VIEs or the shareholders of the VIEs in any jurisdiction challenging the validity of any of the VIE Agreements, and, to the knowledge of the Company, no such proceeding, inquiry or investigation is threatened in any jurisdiction;</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24" w:name="page25"/>
    <w:bookmarkEnd w:id="24"/>
    <w:p>
      <w:pPr>
        <w:ind w:left="800" w:firstLine="2"/>
        <w:spacing w:after="0" w:line="268" w:lineRule="auto"/>
        <w:tabs>
          <w:tab w:leader="none" w:pos="1082"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execution, delivery and performance of each VIE Agreement by the parties thereto do not and will not result in a breach or violation of any of the terms and provisions of, or, constitute a default under, or result in the imposition of any lien, encumbrance, equity or claim upon any property or assets of the Company or any of the Controlled Entities pursuant to (i) the constitutional or organizational documents of the Company or any of the Controlled Entities, (ii) any statute, rule, regulation or order of any governmental agency or body or any court, domestic or foreign, having jurisdiction over the Company or any of the Controlled Entities or any of their properties, or any arbitration award, or (iii) any indenture, mortgage, deed of trust, loan agreement or other agreement or instrument to which the Company or any of the Controlled Entities is a party or by which the Company or any of the Controlled Entities is bound or to which any of the properties of the Company or any of the Controlled Entities is subject, except, in the case of the foregoing clause (iii), for such breach, violation or default as would not, individually or in the aggregate, have a Material Adverse Effect. Each VIE Agreement is in full force and effect and none of the parties thereto is in breach or default in the performance of any of the terms or provisions of such VIE Agreement. None of the parties to any of the VIE Agreements has sent or received any communication regarding termination of, or intention not to renew, any of the VIE Agreements, and, to the knowledge of the Company, no such termination or non-renewal has been threatened by any of the parties thereto.</w:t>
      </w:r>
    </w:p>
    <w:p>
      <w:pPr>
        <w:spacing w:after="0" w:line="184" w:lineRule="exact"/>
        <w:rPr>
          <w:rFonts w:ascii="Arial" w:cs="Arial" w:eastAsia="Arial" w:hAnsi="Arial"/>
          <w:sz w:val="17"/>
          <w:szCs w:val="17"/>
          <w:color w:val="auto"/>
        </w:rPr>
      </w:pPr>
    </w:p>
    <w:p>
      <w:pPr>
        <w:ind w:left="800" w:right="180" w:firstLine="2"/>
        <w:spacing w:after="0" w:line="277" w:lineRule="auto"/>
        <w:tabs>
          <w:tab w:leader="none" w:pos="10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possesses, directly or indirectly, the power to direct or cause the direction of the management and policies of the VIEs;</w:t>
      </w:r>
    </w:p>
    <w:p>
      <w:pPr>
        <w:spacing w:after="0" w:line="170" w:lineRule="exact"/>
        <w:rPr>
          <w:rFonts w:ascii="Arial" w:cs="Arial" w:eastAsia="Arial" w:hAnsi="Arial"/>
          <w:sz w:val="18"/>
          <w:szCs w:val="18"/>
          <w:color w:val="auto"/>
        </w:rPr>
      </w:pPr>
    </w:p>
    <w:p>
      <w:pPr>
        <w:ind w:left="840" w:hanging="656"/>
        <w:spacing w:after="0" w:line="272" w:lineRule="auto"/>
        <w:tabs>
          <w:tab w:leader="none" w:pos="8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Neither the Company nor any of the Controlled Entities is (i) in violation of its certificate of incorporation or by-laws (or other applicable organization document), (ii) in violation of any statute or any judgment, order, rule or regulation of any court or governmental agency or body having jurisdiction over the Company or any of the Controlled Entities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have a Material Adverse Effect;</w:t>
      </w:r>
    </w:p>
    <w:p>
      <w:pPr>
        <w:spacing w:after="0" w:line="1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25" w:name="page26"/>
    <w:bookmarkEnd w:id="25"/>
    <w:p>
      <w:pPr>
        <w:ind w:left="840" w:right="80" w:hanging="656"/>
        <w:spacing w:after="0" w:line="254"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statements set forth in the Registration Statement, the Pricing Prospectus and the Prospectus under the caption “Prospectus Summary,” “Risk Factors,” “Use of Proceeds,” “Dividend Policy”, “Enforceability of Civil Liabilities,” “Corporate History and Structure,” “Management’s Discussion and Analysis of Financial Condition and Results of Operations,” “Business,” “Regulation,” “Management”, “Principal Shareholders,” “Related Party Transactions,” “Description of Share Capital,” “Description of American Depositary Shares,” “Shares Eligible for Future Sale”, “Taxation” and “Underwriting,”, insofar as they purport to describe the provisions of the laws and documents referred to therein, are accurate and fair in all material respects;</w:t>
      </w:r>
    </w:p>
    <w:p>
      <w:pPr>
        <w:spacing w:after="0" w:line="194" w:lineRule="exact"/>
        <w:rPr>
          <w:rFonts w:ascii="Arial" w:cs="Arial" w:eastAsia="Arial" w:hAnsi="Arial"/>
          <w:sz w:val="18"/>
          <w:szCs w:val="18"/>
          <w:color w:val="auto"/>
        </w:rPr>
      </w:pPr>
    </w:p>
    <w:p>
      <w:pPr>
        <w:ind w:left="840" w:hanging="656"/>
        <w:spacing w:after="0" w:line="291" w:lineRule="auto"/>
        <w:tabs>
          <w:tab w:leader="none" w:pos="8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The Company and the Controlled Entities possess, and are in compliance with the terms of, all certificates, authorizations, franchises, licenses and permits (the “</w:t>
      </w:r>
      <w:r>
        <w:rPr>
          <w:rFonts w:ascii="Arial" w:cs="Arial" w:eastAsia="Arial" w:hAnsi="Arial"/>
          <w:sz w:val="16"/>
          <w:szCs w:val="16"/>
          <w:b w:val="1"/>
          <w:bCs w:val="1"/>
          <w:color w:val="auto"/>
        </w:rPr>
        <w:t>Licenses</w:t>
      </w:r>
      <w:r>
        <w:rPr>
          <w:rFonts w:ascii="Arial" w:cs="Arial" w:eastAsia="Arial" w:hAnsi="Arial"/>
          <w:sz w:val="16"/>
          <w:szCs w:val="16"/>
          <w:color w:val="auto"/>
        </w:rPr>
        <w:t>”) necessary or material to the conduct of their business now conducted in all material respects; (B) the Company and the Controlled Entities have not received any notice of proceedings relating to the revocation or modification of any License that, if determined adversely to the Company or any Controlled Entity, would, individually or in the aggregate, have a Material Adverse Effect; and (C) all of the Licenses are valid and in full force and effect, except, in the case of clauses (A) and (C) for such failure to possess, noncompliance, invalidity of such Licenses or the failure of such Licenses to be in full force and effect that would not, individually or in the aggregate, have a Material Adverse Effect;</w:t>
      </w:r>
    </w:p>
    <w:p>
      <w:pPr>
        <w:spacing w:after="0" w:line="166" w:lineRule="exact"/>
        <w:rPr>
          <w:rFonts w:ascii="Arial" w:cs="Arial" w:eastAsia="Arial" w:hAnsi="Arial"/>
          <w:sz w:val="16"/>
          <w:szCs w:val="16"/>
          <w:color w:val="auto"/>
        </w:rPr>
      </w:pPr>
    </w:p>
    <w:p>
      <w:pPr>
        <w:ind w:left="840" w:hanging="656"/>
        <w:spacing w:after="0" w:line="284" w:lineRule="auto"/>
        <w:tabs>
          <w:tab w:leader="none" w:pos="86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and the Controlled Entities own, possess or can acquire on reasonable terms sufficient trademarks, trade names, patent rights, copyrights, domain names, licenses, approvals, trade secrets, inventions, technology, know-how and other intellectual property and similar rights, including registrations and applications for registration thereof (collectively, the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or material to the conduct of their business now conducted, except for such as would not, individually or in aggregate, have a Material Adverse Effect, and the expected expiration of any such Intellectual Property Rights would not, individually or in the aggregate, have a Material Adverse Effect. Except as disclosed in the Registration Statement, the Pricing Prospectus and the Prospectus and except that would not, individually or in the aggregate, have a Material Adverse Effect, (i) there are no rights of third parties to any of the Intellectual Property Rights owned by the Company or the Controlled Entities; (ii) there is no material infringement, misappropriation, breach, default or other violation, or the occurrence of any event that with notice or the passage of time would constitute any of the foregoing, by the Company or the Controlled Entities or third parties of any of the Intellectual Property Rights of the Company or the Controlled Entities; (iii) there is no pending or threatened action, suit, proceeding or claim by others challenging the Company’s or any of the Controlled Entities’ rights in or to, or the violation of any of the terms of, any of their Intellectual Property Rights, and the Company is unaware of any facts which would form a reasonable basis for any such claim; (iv) there is no pending or threatened action, suit, proceeding or claim by others challenging the validity, enforceability or scope of any such Intellectual Property Rights, and the Company is unaware of any facts which would form a reasonable basis for any such claim; (v) there is no pending or threatened action, suit, proceeding or claim by others that the Company or any Controlled Entity infringes, misappropriates or otherwise violates or conflicts with any Intellectual Property Rights or other proprietary rights of others and the Company is unaware of any other fact which would form a reasonable basis for any such claim; and (vi) none of the Intellectual Property Rights used by the Company or the Controlled Entities in their businesses has been obtained or is being used by the Company or the Controlled Entities in violation of any contractual obligation binding on the Company or any Controlled Entity in violation of the rights of any persons, except in each case covered by clauses (i) through (vi) such as would not, if determined adversely to the Company or any Controlled Entity, would, individually or in the aggregate, have a Material Adverse Effect;</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26" w:name="page27"/>
    <w:bookmarkEnd w:id="26"/>
    <w:p>
      <w:pPr>
        <w:ind w:left="840" w:right="100" w:hanging="656"/>
        <w:spacing w:after="0" w:line="287" w:lineRule="auto"/>
        <w:tabs>
          <w:tab w:leader="none" w:pos="871"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Pricing Prospectus and the Prospectus, each of the Company and the Controlled Entities that were incorporated outside of the PRC has taken, or is in the process of taking, reasonable steps to comply with, and to ensure compliance by each of its shareholders, directors, officers, option holders and employees, that is, or is directly or indirectly owned or controlled by, a PRC resident or citizen with any applicable rules and regulations of the relevant PRC government agencies (including but not limited to the Ministry of Commerce, the National Development and Reform Commission and the State Administration of Foreign Exchange) relating to overseas investment by PRC residents and citizens or the repatriation of the proceeds from overseas offering and listing by offshore special purpose vehicles controlled directly or indirectly by PRC companies and individuals, such as the Company, (the “</w:t>
      </w:r>
      <w:r>
        <w:rPr>
          <w:rFonts w:ascii="Arial" w:cs="Arial" w:eastAsia="Arial" w:hAnsi="Arial"/>
          <w:sz w:val="16"/>
          <w:szCs w:val="16"/>
          <w:b w:val="1"/>
          <w:bCs w:val="1"/>
          <w:color w:val="auto"/>
        </w:rPr>
        <w:t>PRC Overseas Investment and Listing</w:t>
      </w:r>
      <w:r>
        <w:rPr>
          <w:rFonts w:ascii="Arial" w:cs="Arial" w:eastAsia="Arial" w:hAnsi="Arial"/>
          <w:sz w:val="16"/>
          <w:szCs w:val="16"/>
          <w:color w:val="auto"/>
        </w:rPr>
        <w:t xml:space="preserve"> </w:t>
      </w:r>
      <w:r>
        <w:rPr>
          <w:rFonts w:ascii="Arial" w:cs="Arial" w:eastAsia="Arial" w:hAnsi="Arial"/>
          <w:sz w:val="16"/>
          <w:szCs w:val="16"/>
          <w:b w:val="1"/>
          <w:bCs w:val="1"/>
          <w:color w:val="auto"/>
        </w:rPr>
        <w:t>Regulations</w:t>
      </w:r>
      <w:r>
        <w:rPr>
          <w:rFonts w:ascii="Arial" w:cs="Arial" w:eastAsia="Arial" w:hAnsi="Arial"/>
          <w:sz w:val="16"/>
          <w:szCs w:val="16"/>
          <w:color w:val="auto"/>
        </w:rPr>
        <w:t>”), including, without limitation, requesting each shareholder, director, officer, option holder and employee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or is directly or indirectly owned or controlled by, a PRC resident or citizen, to complete any registration and other procedures required under applicable PRC Overseas Investment and Listing Regulations.</w:t>
      </w:r>
    </w:p>
    <w:p>
      <w:pPr>
        <w:spacing w:after="0" w:line="17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40" w:hanging="656"/>
        <w:spacing w:after="0" w:line="285" w:lineRule="auto"/>
        <w:tabs>
          <w:tab w:leader="none" w:pos="84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is aware of and has been advised as to the content of the Rules on Mergers and Acquisitions of Domestic Enterprises by Foreign Investors and any official clarifications, guidance, interpretations or implementation rules in connection with or related thereto (the “</w:t>
      </w:r>
      <w:r>
        <w:rPr>
          <w:rFonts w:ascii="Arial" w:cs="Arial" w:eastAsia="Arial" w:hAnsi="Arial"/>
          <w:sz w:val="16"/>
          <w:szCs w:val="16"/>
          <w:b w:val="1"/>
          <w:bCs w:val="1"/>
          <w:color w:val="auto"/>
        </w:rPr>
        <w:t>PRC Mergers and Acquisitions Rules</w:t>
      </w:r>
      <w:r>
        <w:rPr>
          <w:rFonts w:ascii="Arial" w:cs="Arial" w:eastAsia="Arial" w:hAnsi="Arial"/>
          <w:sz w:val="16"/>
          <w:szCs w:val="16"/>
          <w:color w:val="auto"/>
        </w:rPr>
        <w:t>”) jointly promulgated by the Ministry of Commerce, the State Assets Supervision and Administration Commission, the State Tax Administration, the State Administration of Industry and Commerce, the China Securities Regulatory Commission (the “</w:t>
      </w:r>
      <w:r>
        <w:rPr>
          <w:rFonts w:ascii="Arial" w:cs="Arial" w:eastAsia="Arial" w:hAnsi="Arial"/>
          <w:sz w:val="16"/>
          <w:szCs w:val="16"/>
          <w:b w:val="1"/>
          <w:bCs w:val="1"/>
          <w:color w:val="auto"/>
        </w:rPr>
        <w:t>CSRC</w:t>
      </w:r>
      <w:r>
        <w:rPr>
          <w:rFonts w:ascii="Arial" w:cs="Arial" w:eastAsia="Arial" w:hAnsi="Arial"/>
          <w:sz w:val="16"/>
          <w:szCs w:val="16"/>
          <w:color w:val="auto"/>
        </w:rPr>
        <w:t>”) and the State Administration of Foreign Exchange on August 8, 2006,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 Except as disclosed in the Registration Statement, the Pricing Prospectus and the Prospectus, the issuance and sale of the Ordinary Shares and the ADSs, the listing and trading of the ADSs on the NASDAQ Global Market and the consummation of the transactions contemplated by this Agreement and the Deposit Agreement (i) are not and will not be, as of the date hereof or at the First Time of Delivery or a Second Time of Delivery, as the case may be, adversely affected by the PRC Mergers and Acquisitions Rules and (ii) do not require the prior approval of the CSRC.</w:t>
      </w:r>
    </w:p>
    <w:p>
      <w:pPr>
        <w:spacing w:after="0" w:line="176" w:lineRule="exact"/>
        <w:rPr>
          <w:rFonts w:ascii="Arial" w:cs="Arial" w:eastAsia="Arial" w:hAnsi="Arial"/>
          <w:sz w:val="16"/>
          <w:szCs w:val="16"/>
          <w:color w:val="auto"/>
        </w:rPr>
      </w:pPr>
    </w:p>
    <w:p>
      <w:pPr>
        <w:ind w:left="840" w:right="20" w:hanging="656"/>
        <w:spacing w:after="0" w:line="272" w:lineRule="auto"/>
        <w:tabs>
          <w:tab w:leader="none" w:pos="83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and its Controlled Entities are in compliance with any and all applicable national, provincial, local and foreign laws 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and have received all permits, licenses or other approvals required of them under applicable Environmental Laws to conduct their respective businesses and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w:t>
      </w:r>
    </w:p>
    <w:p>
      <w:pPr>
        <w:spacing w:after="0" w:line="177" w:lineRule="exact"/>
        <w:rPr>
          <w:rFonts w:ascii="Arial" w:cs="Arial" w:eastAsia="Arial" w:hAnsi="Arial"/>
          <w:sz w:val="17"/>
          <w:szCs w:val="17"/>
          <w:color w:val="auto"/>
        </w:rPr>
      </w:pPr>
    </w:p>
    <w:p>
      <w:pPr>
        <w:ind w:left="840" w:right="220" w:hanging="656"/>
        <w:spacing w:after="0" w:line="259" w:lineRule="auto"/>
        <w:tabs>
          <w:tab w:leader="none" w:pos="8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w:t>
      </w:r>
    </w:p>
    <w:p>
      <w:pPr>
        <w:spacing w:after="0" w:line="186" w:lineRule="exact"/>
        <w:rPr>
          <w:rFonts w:ascii="Arial" w:cs="Arial" w:eastAsia="Arial" w:hAnsi="Arial"/>
          <w:sz w:val="18"/>
          <w:szCs w:val="18"/>
          <w:color w:val="auto"/>
        </w:rPr>
      </w:pPr>
    </w:p>
    <w:p>
      <w:pPr>
        <w:ind w:left="840" w:hanging="656"/>
        <w:spacing w:after="0" w:line="255" w:lineRule="auto"/>
        <w:tabs>
          <w:tab w:leader="none" w:pos="8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and the Controlled Entities carry, or are covered by, insurance for the conduct of their respective businesses and the value of their respective properties, if applicable, in such amounts and covering such risks as is adequate and as is customary for companies engaged in similar businesses; and neither the Company nor any of the Controlled Entities has any reason to believe that it will not be able to renew its existing insurance coverage as and when such coverage expires or to obtain similar coverage at a cost that would not have a Material Adverse Effect from similar insurers as may be necessary to continue its business;</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80"/>
          </w:cols>
          <w:pgMar w:left="1440" w:top="341" w:right="379" w:bottom="1440" w:gutter="0" w:footer="0" w:header="0"/>
        </w:sectPr>
      </w:pPr>
    </w:p>
    <w:bookmarkStart w:id="27" w:name="page28"/>
    <w:bookmarkEnd w:id="27"/>
    <w:p>
      <w:pPr>
        <w:ind w:left="840" w:right="60" w:hanging="656"/>
        <w:spacing w:after="0" w:line="270" w:lineRule="auto"/>
        <w:tabs>
          <w:tab w:leader="none" w:pos="867"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of the Company and the Controlled Entities has timely filed all required tax returns, reports and filings that have been due and for which no extensions have been granted, or have been granted extensions thereof (except where the failure to file would not, individually or in the aggregate, have a Material Adverse Effect).. Such returns, reports or filings are not the subject of any disputes with revenue or other authorities other than disputes which, if determined adversely to the Company or any Controlled Entity, would not, individually or in the aggregate, have a Material Adverse Effect. Except as would not, individually or in the aggregate, have a Material Adverse Effect, (i) each of the Company and the Controlled Entities has timely paid all taxes (including any assessments, fines or penalties) required to be paid by it, (ii) no tax deficiency has been asserted against the Company or any of the Controlled Entities, and (iii) none of the Company or any Controlled Entity has any knowledge of any tax deficiency which might be assessed against it;</w:t>
      </w:r>
    </w:p>
    <w:p>
      <w:pPr>
        <w:spacing w:after="0" w:line="180" w:lineRule="exact"/>
        <w:rPr>
          <w:rFonts w:ascii="Arial" w:cs="Arial" w:eastAsia="Arial" w:hAnsi="Arial"/>
          <w:sz w:val="17"/>
          <w:szCs w:val="17"/>
          <w:color w:val="auto"/>
        </w:rPr>
      </w:pPr>
    </w:p>
    <w:p>
      <w:pPr>
        <w:ind w:left="840" w:right="240" w:hanging="656"/>
        <w:spacing w:after="0" w:line="277" w:lineRule="auto"/>
        <w:tabs>
          <w:tab w:leader="none" w:pos="8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or any Controlled Entity exists or, to the knowledge of the Company, is imminent that would, individually or in the aggregate, have a Material Adverse Effect;</w:t>
      </w:r>
    </w:p>
    <w:p>
      <w:pPr>
        <w:spacing w:after="0" w:line="170" w:lineRule="exact"/>
        <w:rPr>
          <w:rFonts w:ascii="Arial" w:cs="Arial" w:eastAsia="Arial" w:hAnsi="Arial"/>
          <w:sz w:val="18"/>
          <w:szCs w:val="18"/>
          <w:color w:val="auto"/>
        </w:rPr>
      </w:pPr>
    </w:p>
    <w:p>
      <w:pPr>
        <w:ind w:left="840" w:hanging="656"/>
        <w:spacing w:after="0" w:line="275" w:lineRule="auto"/>
        <w:tabs>
          <w:tab w:leader="none" w:pos="838"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Neither the Company nor any of the Controlled Entities has sent or received any written communication regarding termination of, or intent not to renew, any of the contracts or agreements specifically referred to or described in the Registration Statement, the Pricing Prospectus and the Prospectus, or specifically referred to or described in, or filed as an exhibit to, the Registration Statement, and no such termination or non-renewal has been threatened by the Company, any of the Controlled Entities or, to the Company’s knowledge, any other party to any such contract or agreement.</w:t>
      </w:r>
    </w:p>
    <w:p>
      <w:pPr>
        <w:spacing w:after="0" w:line="176" w:lineRule="exact"/>
        <w:rPr>
          <w:rFonts w:ascii="Arial" w:cs="Arial" w:eastAsia="Arial" w:hAnsi="Arial"/>
          <w:sz w:val="17"/>
          <w:szCs w:val="17"/>
          <w:color w:val="auto"/>
        </w:rPr>
      </w:pPr>
    </w:p>
    <w:p>
      <w:pPr>
        <w:ind w:left="840" w:right="20" w:hanging="656"/>
        <w:spacing w:after="0" w:line="254" w:lineRule="auto"/>
        <w:tabs>
          <w:tab w:leader="none" w:pos="8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than as set forth in the Registration Statement, the Pricing Prospectus and the Prospectus, there are no legal or governmental proceedings pending to which the Company or any of the Controlled Entities or, to the Company’s knowledge, any officer or director of the Company is a party or of which any property or assets of the Company or any of the Controlled Entities or, to the Company’s knowledge, any officer or director of the Company is the subject which, if determined adversely to the Company or any of the Controlled Entities (or such officer or director), would individually or in the aggregate have a Material Adverse Effect; and, to the Company’s knowledge, no such proceedings are threatened or contemplated by governmental authorities or others;</w:t>
      </w:r>
    </w:p>
    <w:p>
      <w:pPr>
        <w:spacing w:after="0" w:line="1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28" w:name="page29"/>
    <w:bookmarkEnd w:id="28"/>
    <w:p>
      <w:pPr>
        <w:ind w:left="840" w:right="40" w:hanging="656"/>
        <w:spacing w:after="0" w:line="271" w:lineRule="auto"/>
        <w:tabs>
          <w:tab w:leader="none" w:pos="857"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Under current laws and regulations of the Cayman Islands and any political subdivision thereof, all dividends and other distributions declared and payable on the Ordinary Shares thereof may be paid by the Company to the Depositary and then passed on by the Depositary to the holders of the ADSs in United States dollars and all such payments made to holders thereof or therein who are non-residents of the Cayman Islands will not be subject to income, withholding or other taxes under laws and regulations of the Cayman Islands or any political subdivision or taxing authority thereof or therein and will otherwise be free and clear of any other tax, duty, withholding or deduction in the Cayman Islands or any political subdivision or taxing authority thereof or therein and without the necessity of obtaining any governmental authorization in the Cayman Islands or any political subdivision or taxing authority thereof or therein;</w:t>
      </w:r>
    </w:p>
    <w:p>
      <w:pPr>
        <w:spacing w:after="0" w:line="178" w:lineRule="exact"/>
        <w:rPr>
          <w:rFonts w:ascii="Arial" w:cs="Arial" w:eastAsia="Arial" w:hAnsi="Arial"/>
          <w:sz w:val="17"/>
          <w:szCs w:val="17"/>
          <w:color w:val="auto"/>
        </w:rPr>
      </w:pPr>
    </w:p>
    <w:p>
      <w:pPr>
        <w:ind w:left="840" w:hanging="656"/>
        <w:spacing w:after="0" w:line="288" w:lineRule="auto"/>
        <w:tabs>
          <w:tab w:leader="none" w:pos="867"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Pricing Prospectus and the Prospectus, neither the Company nor any of the Controlled Entities is currently prohibited, directly or indirectly, from paying any dividends, from making any other distribution on its share capital, from making or repaying any loans or advances to the Company or any other Controlled Entities or from transferring any of its property or assets to the Company or any other Controlled Entity. Except as disclosed in the Registration Statement, the Pricing Prospectus and the Prospectus, all dividends and other distributions declared and payable on the share capital of the Controlled Entities that are organized in the PRC may under the current laws and regulations of the PRC be converted into foreign currency and freely transferred out of the PRC and may be paid in United States dollars, without the consent, approval, authorization or order of, or qualification with, any court or governmental agency or body in the PRC, and all such dividends and other distributions will not be subject to withholding or other taxes under the laws and regulations the PRC are otherwise free and clear of any other tax, withholding or deduction in the PRC;</w:t>
      </w:r>
    </w:p>
    <w:p>
      <w:pPr>
        <w:spacing w:after="0" w:line="168" w:lineRule="exact"/>
        <w:rPr>
          <w:sz w:val="20"/>
          <w:szCs w:val="20"/>
          <w:color w:val="auto"/>
        </w:rPr>
      </w:pPr>
    </w:p>
    <w:p>
      <w:pPr>
        <w:ind w:left="840" w:hanging="656"/>
        <w:spacing w:after="0" w:line="273" w:lineRule="auto"/>
        <w:tabs>
          <w:tab w:leader="none" w:pos="83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application of the net proceeds from the offering of the ADSs, as described in the Registration Statement, the Pricing Prospectus and the Prospectus, will not (i) contravene any provision of any current and applicable laws or the current constituent documents of the Company or any Controlled Entity, (ii) contravene the terms or provisions of, or constitute a default under, any indenture, mortgage, deed of trust, loan agreement, note, lease or other agreement or instrument currently binding upon the Company or any Controlled Entity or (iii) contravene or violate the terms or provisions of any governmental authorization applicable to any of the Company or any Controlled Entity;</w:t>
      </w:r>
    </w:p>
    <w:p>
      <w:pPr>
        <w:spacing w:after="0" w:line="177" w:lineRule="exact"/>
        <w:rPr>
          <w:rFonts w:ascii="Arial" w:cs="Arial" w:eastAsia="Arial" w:hAnsi="Arial"/>
          <w:sz w:val="17"/>
          <w:szCs w:val="17"/>
          <w:color w:val="auto"/>
        </w:rPr>
      </w:pPr>
    </w:p>
    <w:p>
      <w:pPr>
        <w:ind w:left="840" w:hanging="656"/>
        <w:spacing w:after="0" w:line="342" w:lineRule="auto"/>
        <w:tabs>
          <w:tab w:leader="none" w:pos="8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ADSs and the application of the proceeds thereof, will not be an “investment company”, as such term is defined in the Investment Company Act of 1940, as amended;</w:t>
      </w:r>
    </w:p>
    <w:p>
      <w:pPr>
        <w:spacing w:after="0" w:line="1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29" w:name="page30"/>
    <w:bookmarkEnd w:id="29"/>
    <w:p>
      <w:pPr>
        <w:ind w:left="840" w:right="80" w:hanging="656"/>
        <w:spacing w:after="0" w:line="266"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was not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as defined in Section 1297 of the United States Internal Revenue Code of 1986, as amended, for its most recently completed taxable year and does not expect to be a PFIC for the current taxable year or in the foreseeable future;</w:t>
      </w:r>
    </w:p>
    <w:p>
      <w:pPr>
        <w:spacing w:after="0" w:line="179" w:lineRule="exact"/>
        <w:rPr>
          <w:rFonts w:ascii="Arial" w:cs="Arial" w:eastAsia="Arial" w:hAnsi="Arial"/>
          <w:sz w:val="18"/>
          <w:szCs w:val="18"/>
          <w:color w:val="auto"/>
        </w:rPr>
      </w:pPr>
    </w:p>
    <w:p>
      <w:pPr>
        <w:ind w:left="840" w:right="400" w:hanging="656"/>
        <w:spacing w:after="0" w:line="277" w:lineRule="auto"/>
        <w:tabs>
          <w:tab w:leader="none" w:pos="8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the time of filing the Initial Registration Statement and any post-effective amendment thereto, and at the date hereof, the Company was not and is not an “ineligible issuer,” as defined in Rule 405 under the Act;</w:t>
      </w:r>
    </w:p>
    <w:p>
      <w:pPr>
        <w:spacing w:after="0" w:line="170" w:lineRule="exact"/>
        <w:rPr>
          <w:rFonts w:ascii="Arial" w:cs="Arial" w:eastAsia="Arial" w:hAnsi="Arial"/>
          <w:sz w:val="18"/>
          <w:szCs w:val="18"/>
          <w:color w:val="auto"/>
        </w:rPr>
      </w:pPr>
    </w:p>
    <w:p>
      <w:pPr>
        <w:ind w:left="840" w:right="80" w:hanging="656"/>
        <w:spacing w:after="0" w:line="342" w:lineRule="auto"/>
        <w:tabs>
          <w:tab w:leader="none" w:pos="843"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PricewaterhouseCoopers Zhong Tian LLP, who have certified certain financial statements of the Company and the Controlled Entities, are independent public accountants as required by the Act and the rules and regulations of the Commission thereunder;</w:t>
      </w:r>
    </w:p>
    <w:p>
      <w:pPr>
        <w:spacing w:after="0" w:line="123" w:lineRule="exact"/>
        <w:rPr>
          <w:rFonts w:ascii="Arial" w:cs="Arial" w:eastAsia="Arial" w:hAnsi="Arial"/>
          <w:sz w:val="16"/>
          <w:szCs w:val="16"/>
          <w:color w:val="auto"/>
        </w:rPr>
      </w:pPr>
    </w:p>
    <w:p>
      <w:pPr>
        <w:ind w:left="840" w:right="20" w:hanging="656"/>
        <w:spacing w:after="0" w:line="286" w:lineRule="auto"/>
        <w:tabs>
          <w:tab w:leader="none" w:pos="85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the Controlled Entities and the Board are in compliance with the provisions of Sarbanes-Oxley and all Exchange Rules that are applicable to them as of the date of this Agreement. The Company maintains a system of internal control over financial reporting (as such term is defined in Rule 13a-15(f)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that (i) complies with the requirements of the Exchange Act, (ii) has been designed by the Company’s principal executive officer and principal financial officer, or under their supervision</w:t>
      </w:r>
      <w:r>
        <w:rPr>
          <w:rFonts w:ascii="Arial" w:cs="Arial" w:eastAsia="Arial" w:hAnsi="Arial"/>
          <w:sz w:val="16"/>
          <w:szCs w:val="16"/>
          <w:b w:val="1"/>
          <w:bCs w:val="1"/>
          <w:color w:val="auto"/>
        </w:rPr>
        <w:t>,</w:t>
      </w:r>
      <w:r>
        <w:rPr>
          <w:rFonts w:ascii="Arial" w:cs="Arial" w:eastAsia="Arial" w:hAnsi="Arial"/>
          <w:sz w:val="16"/>
          <w:szCs w:val="16"/>
          <w:color w:val="auto"/>
        </w:rPr>
        <w:t xml:space="preserve">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except as disclosed in the Registration Statement, the Pricing Prospectus and the Prospectus, the Company is not aware of any material weaknesses in its internal control over financial reporting;</w:t>
      </w:r>
    </w:p>
    <w:p>
      <w:pPr>
        <w:spacing w:after="0" w:line="173" w:lineRule="exact"/>
        <w:rPr>
          <w:rFonts w:ascii="Arial" w:cs="Arial" w:eastAsia="Arial" w:hAnsi="Arial"/>
          <w:sz w:val="16"/>
          <w:szCs w:val="16"/>
          <w:color w:val="auto"/>
        </w:rPr>
      </w:pPr>
    </w:p>
    <w:p>
      <w:pPr>
        <w:ind w:left="840" w:hanging="656"/>
        <w:spacing w:after="0" w:line="286" w:lineRule="auto"/>
        <w:tabs>
          <w:tab w:leader="none" w:pos="862" w:val="left"/>
        </w:tabs>
        <w:numPr>
          <w:ilvl w:val="0"/>
          <w:numId w:val="23"/>
        </w:numPr>
        <w:rPr>
          <w:rFonts w:ascii="Arial" w:cs="Arial" w:eastAsia="Arial" w:hAnsi="Arial"/>
          <w:sz w:val="17"/>
          <w:szCs w:val="17"/>
          <w:color w:val="auto"/>
        </w:rPr>
      </w:pPr>
      <w:r>
        <w:rPr>
          <w:rFonts w:ascii="Arial" w:cs="Arial" w:eastAsia="Arial" w:hAnsi="Arial"/>
          <w:sz w:val="17"/>
          <w:szCs w:val="17"/>
          <w:color w:val="auto"/>
        </w:rPr>
        <w:t>Since the date of the latest audited financial statements included in the Registration Statement,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30" w:name="page31"/>
    <w:bookmarkEnd w:id="30"/>
    <w:p>
      <w:pPr>
        <w:ind w:left="1960" w:right="120" w:hanging="656"/>
        <w:spacing w:after="0" w:line="279" w:lineRule="auto"/>
        <w:tabs>
          <w:tab w:leader="none" w:pos="196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the Controlled Entities is made known to the Company’s principal executive officer and principal financial officer by others within those entities;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ind w:left="1300"/>
              <w:spacing w:after="0"/>
              <w:rPr>
                <w:sz w:val="20"/>
                <w:szCs w:val="20"/>
                <w:color w:val="auto"/>
              </w:rPr>
            </w:pPr>
            <w:r>
              <w:rPr>
                <w:rFonts w:ascii="Arial" w:cs="Arial" w:eastAsia="Arial" w:hAnsi="Arial"/>
                <w:sz w:val="18"/>
                <w:szCs w:val="18"/>
                <w:color w:val="auto"/>
              </w:rPr>
              <w:t>(xliv)</w:t>
            </w:r>
          </w:p>
        </w:tc>
        <w:tc>
          <w:tcPr>
            <w:tcW w:w="9460" w:type="dxa"/>
            <w:vAlign w:val="bottom"/>
          </w:tcPr>
          <w:p>
            <w:pPr>
              <w:ind w:left="160"/>
              <w:spacing w:after="0"/>
              <w:rPr>
                <w:sz w:val="20"/>
                <w:szCs w:val="20"/>
                <w:color w:val="auto"/>
              </w:rPr>
            </w:pPr>
            <w:r>
              <w:rPr>
                <w:rFonts w:ascii="Arial" w:cs="Arial" w:eastAsia="Arial" w:hAnsi="Arial"/>
                <w:sz w:val="18"/>
                <w:szCs w:val="18"/>
                <w:color w:val="auto"/>
                <w:w w:val="90"/>
              </w:rPr>
              <w:t>Each of this Agreement and the Deposited Agreement has been duly authorized, executed and delivered by the Company and is</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0"/>
              </w:rPr>
              <w:t>in proper form to be enforceable against the Company in the Cayman Islands in accordance with its terms; to ensure the legality,</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4"/>
              </w:rPr>
              <w:t>validity, enforceability or admissibility into evidence in the Cayman Islands of this Agreement or the Deposit Agreement, it is</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7"/>
              </w:rPr>
              <w:t>not necessary that this Agreement or the Deposit Agreement be filed or recorded with any court or other authority in the</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2"/>
              </w:rPr>
              <w:t>Cayman Islands or that any stamp or similar tax in the Cayman Islands be paid on or in respect of this Agreement, the Deposit</w:t>
            </w:r>
          </w:p>
        </w:tc>
      </w:tr>
      <w:tr>
        <w:trPr>
          <w:trHeight w:val="230"/>
        </w:trPr>
        <w:tc>
          <w:tcPr>
            <w:tcW w:w="1820" w:type="dxa"/>
            <w:vAlign w:val="bottom"/>
          </w:tcPr>
          <w:p>
            <w:pPr>
              <w:spacing w:after="0"/>
              <w:rPr>
                <w:sz w:val="20"/>
                <w:szCs w:val="20"/>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rPr>
              <w:t>Agreement or any other documents to be furnished hereunder;</w:t>
            </w:r>
          </w:p>
        </w:tc>
      </w:tr>
      <w:tr>
        <w:trPr>
          <w:trHeight w:val="418"/>
        </w:trPr>
        <w:tc>
          <w:tcPr>
            <w:tcW w:w="1820" w:type="dxa"/>
            <w:vAlign w:val="bottom"/>
          </w:tcPr>
          <w:p>
            <w:pPr>
              <w:ind w:left="1300"/>
              <w:spacing w:after="0"/>
              <w:rPr>
                <w:sz w:val="20"/>
                <w:szCs w:val="20"/>
                <w:color w:val="auto"/>
              </w:rPr>
            </w:pPr>
            <w:r>
              <w:rPr>
                <w:rFonts w:ascii="Arial" w:cs="Arial" w:eastAsia="Arial" w:hAnsi="Arial"/>
                <w:sz w:val="18"/>
                <w:szCs w:val="18"/>
                <w:color w:val="auto"/>
              </w:rPr>
              <w:t>(xli)</w:t>
            </w:r>
          </w:p>
        </w:tc>
        <w:tc>
          <w:tcPr>
            <w:tcW w:w="9460" w:type="dxa"/>
            <w:vAlign w:val="bottom"/>
          </w:tcPr>
          <w:p>
            <w:pPr>
              <w:ind w:left="160"/>
              <w:spacing w:after="0"/>
              <w:rPr>
                <w:sz w:val="20"/>
                <w:szCs w:val="20"/>
                <w:color w:val="auto"/>
              </w:rPr>
            </w:pPr>
            <w:r>
              <w:rPr>
                <w:rFonts w:ascii="Arial" w:cs="Arial" w:eastAsia="Arial" w:hAnsi="Arial"/>
                <w:sz w:val="18"/>
                <w:szCs w:val="18"/>
                <w:color w:val="auto"/>
                <w:w w:val="96"/>
              </w:rPr>
              <w:t>None of the Company or any of the Controlled Entities nor, to the knowledge of the Company, any director, officer, agent,</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5"/>
              </w:rPr>
              <w:t>employee, affiliate or other person associated with or acting on behalf of the Company or any of the Controlled Entities has</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2"/>
              </w:rPr>
              <w:t>(i) made, offered, promised or authorized any unlawful contribution, gift, entertainment or other unlawful expense (or taken any</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2"/>
              </w:rPr>
              <w:t>act in furtherance thereof); (ii) made, offered, promised or authorized any direct or indirect unlawful payment; or (iii) violated or</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6"/>
              </w:rPr>
              <w:t>is in violation of any provision of the Foreign Corrupt Practices Act of 1977, the Bribery Act 2010 of the United Kingdom or</w:t>
            </w:r>
          </w:p>
        </w:tc>
      </w:tr>
      <w:tr>
        <w:trPr>
          <w:trHeight w:val="230"/>
        </w:trPr>
        <w:tc>
          <w:tcPr>
            <w:tcW w:w="1820" w:type="dxa"/>
            <w:vAlign w:val="bottom"/>
          </w:tcPr>
          <w:p>
            <w:pPr>
              <w:spacing w:after="0"/>
              <w:rPr>
                <w:sz w:val="20"/>
                <w:szCs w:val="20"/>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rPr>
              <w:t>any other applicable anti-bribery or anti-corruption law;</w:t>
            </w:r>
          </w:p>
        </w:tc>
      </w:tr>
      <w:tr>
        <w:trPr>
          <w:trHeight w:val="418"/>
        </w:trPr>
        <w:tc>
          <w:tcPr>
            <w:tcW w:w="1820" w:type="dxa"/>
            <w:vAlign w:val="bottom"/>
          </w:tcPr>
          <w:p>
            <w:pPr>
              <w:ind w:left="1300"/>
              <w:spacing w:after="0"/>
              <w:rPr>
                <w:sz w:val="20"/>
                <w:szCs w:val="20"/>
                <w:color w:val="auto"/>
              </w:rPr>
            </w:pPr>
            <w:r>
              <w:rPr>
                <w:rFonts w:ascii="Arial" w:cs="Arial" w:eastAsia="Arial" w:hAnsi="Arial"/>
                <w:sz w:val="18"/>
                <w:szCs w:val="18"/>
                <w:color w:val="auto"/>
              </w:rPr>
              <w:t>(xlvi)</w:t>
            </w:r>
          </w:p>
        </w:tc>
        <w:tc>
          <w:tcPr>
            <w:tcW w:w="9460" w:type="dxa"/>
            <w:vAlign w:val="bottom"/>
          </w:tcPr>
          <w:p>
            <w:pPr>
              <w:ind w:left="160"/>
              <w:spacing w:after="0"/>
              <w:rPr>
                <w:sz w:val="20"/>
                <w:szCs w:val="20"/>
                <w:color w:val="auto"/>
              </w:rPr>
            </w:pPr>
            <w:r>
              <w:rPr>
                <w:rFonts w:ascii="Arial" w:cs="Arial" w:eastAsia="Arial" w:hAnsi="Arial"/>
                <w:sz w:val="18"/>
                <w:szCs w:val="18"/>
                <w:color w:val="auto"/>
                <w:w w:val="94"/>
              </w:rPr>
              <w:t>The operations of the Company and the Controlled Entities are and have been conducted at all times in compliance with the</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1"/>
              </w:rPr>
              <w:t>requirements of applicable anti-money laundering laws, including, but not limited to, the Bank Secrecy Act of 1970, as amended</w:t>
            </w:r>
          </w:p>
        </w:tc>
      </w:tr>
      <w:tr>
        <w:trPr>
          <w:trHeight w:val="212"/>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1"/>
              </w:rPr>
              <w:t>by the USA PATRIOT ACT of 2001, and the rules and regulations promulgated thereunder, and the anti-money laundering laws</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7"/>
              </w:rPr>
              <w:t>of the various jurisdictions in which the Company and the Controlled Entities conduct business (collectively, the “</w:t>
            </w:r>
            <w:r>
              <w:rPr>
                <w:rFonts w:ascii="Arial" w:cs="Arial" w:eastAsia="Arial" w:hAnsi="Arial"/>
                <w:sz w:val="18"/>
                <w:szCs w:val="18"/>
                <w:b w:val="1"/>
                <w:bCs w:val="1"/>
                <w:color w:val="auto"/>
                <w:w w:val="97"/>
              </w:rPr>
              <w:t>Money</w:t>
            </w:r>
          </w:p>
        </w:tc>
      </w:tr>
      <w:tr>
        <w:trPr>
          <w:trHeight w:val="220"/>
        </w:trPr>
        <w:tc>
          <w:tcPr>
            <w:tcW w:w="1820" w:type="dxa"/>
            <w:vAlign w:val="bottom"/>
          </w:tcPr>
          <w:p>
            <w:pPr>
              <w:spacing w:after="0"/>
              <w:rPr>
                <w:sz w:val="19"/>
                <w:szCs w:val="19"/>
                <w:color w:val="auto"/>
              </w:rPr>
            </w:pPr>
          </w:p>
        </w:tc>
        <w:tc>
          <w:tcPr>
            <w:tcW w:w="9460" w:type="dxa"/>
            <w:vAlign w:val="bottom"/>
          </w:tcPr>
          <w:p>
            <w:pPr>
              <w:ind w:left="140"/>
              <w:spacing w:after="0"/>
              <w:rPr>
                <w:sz w:val="20"/>
                <w:szCs w:val="20"/>
                <w:color w:val="auto"/>
              </w:rPr>
            </w:pPr>
            <w:r>
              <w:rPr>
                <w:rFonts w:ascii="Arial" w:cs="Arial" w:eastAsia="Arial" w:hAnsi="Arial"/>
                <w:sz w:val="18"/>
                <w:szCs w:val="18"/>
                <w:b w:val="1"/>
                <w:bCs w:val="1"/>
                <w:color w:val="auto"/>
                <w:w w:val="92"/>
              </w:rPr>
              <w:t>Laundering Laws</w:t>
            </w:r>
            <w:r>
              <w:rPr>
                <w:rFonts w:ascii="Arial" w:cs="Arial" w:eastAsia="Arial" w:hAnsi="Arial"/>
                <w:sz w:val="18"/>
                <w:szCs w:val="18"/>
                <w:color w:val="auto"/>
                <w:w w:val="92"/>
              </w:rPr>
              <w:t>”) and no action, suit or proceeding by or before any court or governmental agency, authority or body or any</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5"/>
              </w:rPr>
              <w:t>arbitrator involving the Company or any of the Controlled Entities with respect to the Money Laundering Laws is pending or</w:t>
            </w:r>
          </w:p>
        </w:tc>
      </w:tr>
      <w:tr>
        <w:trPr>
          <w:trHeight w:val="230"/>
        </w:trPr>
        <w:tc>
          <w:tcPr>
            <w:tcW w:w="1820" w:type="dxa"/>
            <w:vAlign w:val="bottom"/>
          </w:tcPr>
          <w:p>
            <w:pPr>
              <w:spacing w:after="0"/>
              <w:rPr>
                <w:sz w:val="20"/>
                <w:szCs w:val="20"/>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rPr>
              <w:t>threatened;</w:t>
            </w:r>
          </w:p>
        </w:tc>
      </w:tr>
      <w:tr>
        <w:trPr>
          <w:trHeight w:val="418"/>
        </w:trPr>
        <w:tc>
          <w:tcPr>
            <w:tcW w:w="1820" w:type="dxa"/>
            <w:vAlign w:val="bottom"/>
          </w:tcPr>
          <w:p>
            <w:pPr>
              <w:ind w:left="1300"/>
              <w:spacing w:after="0"/>
              <w:rPr>
                <w:sz w:val="20"/>
                <w:szCs w:val="20"/>
                <w:color w:val="auto"/>
              </w:rPr>
            </w:pPr>
            <w:r>
              <w:rPr>
                <w:rFonts w:ascii="Arial" w:cs="Arial" w:eastAsia="Arial" w:hAnsi="Arial"/>
                <w:sz w:val="18"/>
                <w:szCs w:val="18"/>
                <w:color w:val="auto"/>
              </w:rPr>
              <w:t>(xlii)</w:t>
            </w:r>
          </w:p>
        </w:tc>
        <w:tc>
          <w:tcPr>
            <w:tcW w:w="9460" w:type="dxa"/>
            <w:vAlign w:val="bottom"/>
          </w:tcPr>
          <w:p>
            <w:pPr>
              <w:ind w:left="160"/>
              <w:spacing w:after="0"/>
              <w:rPr>
                <w:sz w:val="20"/>
                <w:szCs w:val="20"/>
                <w:color w:val="auto"/>
              </w:rPr>
            </w:pPr>
            <w:r>
              <w:rPr>
                <w:rFonts w:ascii="Arial" w:cs="Arial" w:eastAsia="Arial" w:hAnsi="Arial"/>
                <w:sz w:val="18"/>
                <w:szCs w:val="18"/>
                <w:color w:val="auto"/>
                <w:w w:val="96"/>
              </w:rPr>
              <w:t>None of the Company or any of the Controlled Entities nor, to the knowledge of the Company, any director, officer, agent,</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5"/>
              </w:rPr>
              <w:t>employee or affiliate of the Company or any of the Controlled Entities is currently the subject or the target of any sanctions</w:t>
            </w:r>
          </w:p>
        </w:tc>
      </w:tr>
      <w:tr>
        <w:trPr>
          <w:trHeight w:val="212"/>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6"/>
              </w:rPr>
              <w:t>administered or enforced by the U.S. Government, including, without limitation, the Office of Foreign Assets Control of the</w:t>
            </w:r>
          </w:p>
        </w:tc>
      </w:tr>
      <w:tr>
        <w:trPr>
          <w:trHeight w:val="220"/>
        </w:trPr>
        <w:tc>
          <w:tcPr>
            <w:tcW w:w="1820" w:type="dxa"/>
            <w:vAlign w:val="bottom"/>
          </w:tcPr>
          <w:p>
            <w:pPr>
              <w:spacing w:after="0"/>
              <w:rPr>
                <w:sz w:val="19"/>
                <w:szCs w:val="19"/>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4"/>
              </w:rPr>
              <w:t>U.S. Department of the Treasury (“</w:t>
            </w:r>
            <w:r>
              <w:rPr>
                <w:rFonts w:ascii="Arial" w:cs="Arial" w:eastAsia="Arial" w:hAnsi="Arial"/>
                <w:sz w:val="18"/>
                <w:szCs w:val="18"/>
                <w:b w:val="1"/>
                <w:bCs w:val="1"/>
                <w:color w:val="auto"/>
                <w:w w:val="94"/>
              </w:rPr>
              <w:t>OFAC</w:t>
            </w:r>
            <w:r>
              <w:rPr>
                <w:rFonts w:ascii="Arial" w:cs="Arial" w:eastAsia="Arial" w:hAnsi="Arial"/>
                <w:sz w:val="18"/>
                <w:szCs w:val="18"/>
                <w:color w:val="auto"/>
                <w:w w:val="94"/>
              </w:rPr>
              <w:t>”), or the U.S. Department of State and including, without limitation, the designation</w:t>
            </w:r>
          </w:p>
        </w:tc>
      </w:tr>
      <w:tr>
        <w:trPr>
          <w:trHeight w:val="212"/>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6"/>
              </w:rPr>
              <w:t>as a “specially designated national” or “blocked person,” the European Union, Her Majesty’s Treasury, the United Nations</w:t>
            </w:r>
          </w:p>
        </w:tc>
      </w:tr>
      <w:tr>
        <w:trPr>
          <w:trHeight w:val="220"/>
        </w:trPr>
        <w:tc>
          <w:tcPr>
            <w:tcW w:w="1820" w:type="dxa"/>
            <w:vAlign w:val="bottom"/>
          </w:tcPr>
          <w:p>
            <w:pPr>
              <w:spacing w:after="0"/>
              <w:rPr>
                <w:sz w:val="19"/>
                <w:szCs w:val="19"/>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3"/>
              </w:rPr>
              <w:t>Security Council, or other relevant sanctions authority (collectively, “</w:t>
            </w:r>
            <w:r>
              <w:rPr>
                <w:rFonts w:ascii="Arial" w:cs="Arial" w:eastAsia="Arial" w:hAnsi="Arial"/>
                <w:sz w:val="18"/>
                <w:szCs w:val="18"/>
                <w:b w:val="1"/>
                <w:bCs w:val="1"/>
                <w:color w:val="auto"/>
                <w:w w:val="93"/>
              </w:rPr>
              <w:t>Sanctions</w:t>
            </w:r>
            <w:r>
              <w:rPr>
                <w:rFonts w:ascii="Arial" w:cs="Arial" w:eastAsia="Arial" w:hAnsi="Arial"/>
                <w:sz w:val="18"/>
                <w:szCs w:val="18"/>
                <w:color w:val="auto"/>
                <w:w w:val="93"/>
              </w:rPr>
              <w:t>”), nor is the Company or any of the Controlled</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3"/>
              </w:rPr>
              <w:t>Entities located, organized, or resident in a country or territory that is the subject or target of Sanctions, and the Company will</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1"/>
              </w:rPr>
              <w:t>not directly or indirectly use the proceeds of the offering of the ADSs hereunder, or lend, contribute or otherwise make available</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8"/>
              </w:rPr>
              <w:t>such proceeds to any subsidiary, joint venture partner or other person or entity (i) to fund or facilitate any activities of or</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1"/>
              </w:rPr>
              <w:t>business with any person, or in any country or territory, that, at the time of such funding, is the subject or the target of Sanctions</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6"/>
              </w:rPr>
              <w:t>or (ii) in any other manner that will result in a violation by any person (including any person participating in the transaction,</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8"/>
              </w:rPr>
              <w:t>whether as underwriter, advisor, investor or otherwise) of Sanctions; the Company and the Controlled Entities have not</w:t>
            </w:r>
          </w:p>
        </w:tc>
      </w:tr>
      <w:tr>
        <w:trPr>
          <w:trHeight w:val="216"/>
        </w:trPr>
        <w:tc>
          <w:tcPr>
            <w:tcW w:w="182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2"/>
              </w:rPr>
              <w:t>knowingly engaged in, are not now knowingly engaged in, and will not engage in, any dealings or transactions with any person</w:t>
            </w:r>
          </w:p>
        </w:tc>
      </w:tr>
      <w:tr>
        <w:trPr>
          <w:trHeight w:val="230"/>
        </w:trPr>
        <w:tc>
          <w:tcPr>
            <w:tcW w:w="1820" w:type="dxa"/>
            <w:vAlign w:val="bottom"/>
          </w:tcPr>
          <w:p>
            <w:pPr>
              <w:spacing w:after="0"/>
              <w:rPr>
                <w:sz w:val="20"/>
                <w:szCs w:val="20"/>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3"/>
              </w:rPr>
              <w:t>or entity, or in any country or territory, that at the time of the dealing or transaction is or was the subject or target of Sanctions.</w:t>
            </w:r>
          </w:p>
        </w:tc>
      </w:tr>
      <w:tr>
        <w:trPr>
          <w:trHeight w:val="432"/>
        </w:trPr>
        <w:tc>
          <w:tcPr>
            <w:tcW w:w="1820" w:type="dxa"/>
            <w:vAlign w:val="bottom"/>
          </w:tcPr>
          <w:p>
            <w:pPr>
              <w:spacing w:after="0"/>
              <w:rPr>
                <w:sz w:val="24"/>
                <w:szCs w:val="24"/>
                <w:color w:val="auto"/>
              </w:rPr>
            </w:pPr>
          </w:p>
        </w:tc>
        <w:tc>
          <w:tcPr>
            <w:tcW w:w="9460" w:type="dxa"/>
            <w:vAlign w:val="bottom"/>
          </w:tcPr>
          <w:p>
            <w:pPr>
              <w:ind w:left="3720"/>
              <w:spacing w:after="0"/>
              <w:rPr>
                <w:sz w:val="20"/>
                <w:szCs w:val="20"/>
                <w:color w:val="auto"/>
              </w:rPr>
            </w:pPr>
            <w:r>
              <w:rPr>
                <w:rFonts w:ascii="Arial" w:cs="Arial" w:eastAsia="Arial" w:hAnsi="Arial"/>
                <w:sz w:val="18"/>
                <w:szCs w:val="18"/>
                <w:color w:val="auto"/>
              </w:rPr>
              <w:t>16</w:t>
            </w:r>
          </w:p>
        </w:tc>
      </w:tr>
      <w:tr>
        <w:trPr>
          <w:trHeight w:val="132"/>
        </w:trPr>
        <w:tc>
          <w:tcPr>
            <w:tcW w:w="1820" w:type="dxa"/>
            <w:vAlign w:val="bottom"/>
            <w:tcBorders>
              <w:bottom w:val="single" w:sz="8" w:color="808080"/>
            </w:tcBorders>
          </w:tcPr>
          <w:p>
            <w:pPr>
              <w:spacing w:after="0"/>
              <w:rPr>
                <w:sz w:val="11"/>
                <w:szCs w:val="11"/>
                <w:color w:val="auto"/>
              </w:rPr>
            </w:pPr>
          </w:p>
        </w:tc>
        <w:tc>
          <w:tcPr>
            <w:tcW w:w="94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1840" w:type="dxa"/>
            <w:vAlign w:val="bottom"/>
          </w:tcPr>
          <w:p>
            <w:pPr>
              <w:ind w:left="1300"/>
              <w:spacing w:after="0"/>
              <w:rPr>
                <w:sz w:val="20"/>
                <w:szCs w:val="20"/>
                <w:color w:val="auto"/>
              </w:rPr>
            </w:pPr>
            <w:r>
              <w:rPr>
                <w:rFonts w:ascii="Arial" w:cs="Arial" w:eastAsia="Arial" w:hAnsi="Arial"/>
                <w:sz w:val="18"/>
                <w:szCs w:val="18"/>
                <w:color w:val="auto"/>
              </w:rPr>
              <w:t>(xliii)</w:t>
            </w:r>
          </w:p>
        </w:tc>
        <w:tc>
          <w:tcPr>
            <w:tcW w:w="9440" w:type="dxa"/>
            <w:vAlign w:val="bottom"/>
          </w:tcPr>
          <w:p>
            <w:pPr>
              <w:ind w:left="160"/>
              <w:spacing w:after="0"/>
              <w:rPr>
                <w:sz w:val="20"/>
                <w:szCs w:val="20"/>
                <w:color w:val="auto"/>
              </w:rPr>
            </w:pPr>
            <w:r>
              <w:rPr>
                <w:rFonts w:ascii="Arial" w:cs="Arial" w:eastAsia="Arial" w:hAnsi="Arial"/>
                <w:sz w:val="18"/>
                <w:szCs w:val="18"/>
                <w:color w:val="auto"/>
                <w:w w:val="92"/>
              </w:rPr>
              <w:t>The financial statements included in the Registration Statement, the Pricing Prospectus and the Prospectus, together with the</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7"/>
              </w:rPr>
              <w:t>related schedules and notes, present fairly the financial position of the Company and the Controlled Entities at the dates</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3"/>
              </w:rPr>
              <w:t>indicated and the statement of operations, shareholders’ equity and cash flows of the Company and the Controlled Entities for</w:t>
            </w:r>
          </w:p>
        </w:tc>
      </w:tr>
      <w:tr>
        <w:trPr>
          <w:trHeight w:val="212"/>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5"/>
              </w:rPr>
              <w:t>the periods specified; said financial statements have been prepared in conformity with U.S. generally accepted accounting</w:t>
            </w:r>
          </w:p>
        </w:tc>
      </w:tr>
      <w:tr>
        <w:trPr>
          <w:trHeight w:val="220"/>
        </w:trPr>
        <w:tc>
          <w:tcPr>
            <w:tcW w:w="1840" w:type="dxa"/>
            <w:vAlign w:val="bottom"/>
          </w:tcPr>
          <w:p>
            <w:pPr>
              <w:spacing w:after="0"/>
              <w:rPr>
                <w:sz w:val="19"/>
                <w:szCs w:val="19"/>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4"/>
              </w:rPr>
              <w:t>principles (“</w:t>
            </w:r>
            <w:r>
              <w:rPr>
                <w:rFonts w:ascii="Arial" w:cs="Arial" w:eastAsia="Arial" w:hAnsi="Arial"/>
                <w:sz w:val="18"/>
                <w:szCs w:val="18"/>
                <w:b w:val="1"/>
                <w:bCs w:val="1"/>
                <w:color w:val="auto"/>
                <w:w w:val="94"/>
              </w:rPr>
              <w:t>GAAP</w:t>
            </w:r>
            <w:r>
              <w:rPr>
                <w:rFonts w:ascii="Arial" w:cs="Arial" w:eastAsia="Arial" w:hAnsi="Arial"/>
                <w:sz w:val="18"/>
                <w:szCs w:val="18"/>
                <w:color w:val="auto"/>
                <w:w w:val="94"/>
              </w:rPr>
              <w:t>”) applied on a consistent basis throughout the periods involved. The supporting schedules, if any, present</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5"/>
              </w:rPr>
              <w:t>fairly in accordance with GAAP the information required to be stated therein. The selected financial data and the summary</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7"/>
              </w:rPr>
              <w:t>financial information included in the Registration Statement, the Pricing Prospectus and the Prospectus present fairly the</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2"/>
              </w:rPr>
              <w:t>information shown therein and have been compiled on a basis consistent with that of the audited financial statements included</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3"/>
              </w:rPr>
              <w:t>therein. Except as included therein, no historical or pro forma financial statements or supporting schedules are required to be</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5"/>
              </w:rPr>
              <w:t>included in the Registration Statement, the Pricing Prospectus or the Prospectus under the Act or the rules and regulations</w:t>
            </w:r>
          </w:p>
        </w:tc>
      </w:tr>
      <w:tr>
        <w:trPr>
          <w:trHeight w:val="230"/>
        </w:trPr>
        <w:tc>
          <w:tcPr>
            <w:tcW w:w="1840" w:type="dxa"/>
            <w:vAlign w:val="bottom"/>
          </w:tcPr>
          <w:p>
            <w:pPr>
              <w:spacing w:after="0"/>
              <w:rPr>
                <w:sz w:val="20"/>
                <w:szCs w:val="20"/>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promulgated thereunder;</w:t>
            </w:r>
          </w:p>
        </w:tc>
      </w:tr>
      <w:tr>
        <w:trPr>
          <w:trHeight w:val="418"/>
        </w:trPr>
        <w:tc>
          <w:tcPr>
            <w:tcW w:w="1840" w:type="dxa"/>
            <w:vAlign w:val="bottom"/>
          </w:tcPr>
          <w:p>
            <w:pPr>
              <w:ind w:left="1300"/>
              <w:spacing w:after="0"/>
              <w:rPr>
                <w:sz w:val="20"/>
                <w:szCs w:val="20"/>
                <w:color w:val="auto"/>
              </w:rPr>
            </w:pPr>
            <w:r>
              <w:rPr>
                <w:rFonts w:ascii="Arial" w:cs="Arial" w:eastAsia="Arial" w:hAnsi="Arial"/>
                <w:sz w:val="18"/>
                <w:szCs w:val="18"/>
                <w:color w:val="auto"/>
              </w:rPr>
              <w:t>(xliv)</w:t>
            </w:r>
          </w:p>
        </w:tc>
        <w:tc>
          <w:tcPr>
            <w:tcW w:w="9440" w:type="dxa"/>
            <w:vAlign w:val="bottom"/>
          </w:tcPr>
          <w:p>
            <w:pPr>
              <w:ind w:left="140"/>
              <w:spacing w:after="0"/>
              <w:rPr>
                <w:sz w:val="20"/>
                <w:szCs w:val="20"/>
                <w:color w:val="auto"/>
              </w:rPr>
            </w:pPr>
            <w:r>
              <w:rPr>
                <w:rFonts w:ascii="Arial" w:cs="Arial" w:eastAsia="Arial" w:hAnsi="Arial"/>
                <w:sz w:val="18"/>
                <w:szCs w:val="18"/>
                <w:color w:val="auto"/>
                <w:w w:val="92"/>
              </w:rPr>
              <w:t>The statements set forth under the caption “Critical Accounting Policies” in the section entitled “Management’s Discussion and</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7"/>
              </w:rPr>
              <w:t>Analysis of Financial Condition and Results of Operations” in the Registration Statement, the Pricing Prospectus and the</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3"/>
              </w:rPr>
              <w:t>Prospectus, accurately and fairly describes (A) accounting policies which the Company believes are the most important in the</w:t>
            </w:r>
          </w:p>
        </w:tc>
      </w:tr>
      <w:tr>
        <w:trPr>
          <w:trHeight w:val="212"/>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1"/>
              </w:rPr>
              <w:t>portrayal of the financial condition and results of operations of the Company and the Controlled Entities on a consolidated basis</w:t>
            </w:r>
          </w:p>
        </w:tc>
      </w:tr>
      <w:tr>
        <w:trPr>
          <w:trHeight w:val="220"/>
        </w:trPr>
        <w:tc>
          <w:tcPr>
            <w:tcW w:w="1840" w:type="dxa"/>
            <w:vAlign w:val="bottom"/>
          </w:tcPr>
          <w:p>
            <w:pPr>
              <w:spacing w:after="0"/>
              <w:rPr>
                <w:sz w:val="19"/>
                <w:szCs w:val="19"/>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and which require management’s most difficult, subjective or complex judgments (“</w:t>
            </w:r>
            <w:r>
              <w:rPr>
                <w:rFonts w:ascii="Arial" w:cs="Arial" w:eastAsia="Arial" w:hAnsi="Arial"/>
                <w:sz w:val="18"/>
                <w:szCs w:val="18"/>
                <w:b w:val="1"/>
                <w:bCs w:val="1"/>
                <w:color w:val="auto"/>
              </w:rPr>
              <w:t>Critical Accounting Policies</w:t>
            </w:r>
            <w:r>
              <w:rPr>
                <w:rFonts w:ascii="Arial" w:cs="Arial" w:eastAsia="Arial" w:hAnsi="Arial"/>
                <w:sz w:val="18"/>
                <w:szCs w:val="18"/>
                <w:color w:val="auto"/>
              </w:rPr>
              <w:t>”);</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4"/>
              </w:rPr>
              <w:t>(B) judgments and uncertainties affecting the application of Critical Accounting Policies; and (C) explanation of the likelihood</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3"/>
              </w:rPr>
              <w:t>that materially different amounts would be reported under different conditions or using different assumptions. The Company’s</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3"/>
              </w:rPr>
              <w:t>board of directors and senior management have reviewed and agreed with the selection, application and disclosure of Critical</w:t>
            </w:r>
          </w:p>
        </w:tc>
      </w:tr>
      <w:tr>
        <w:trPr>
          <w:trHeight w:val="230"/>
        </w:trPr>
        <w:tc>
          <w:tcPr>
            <w:tcW w:w="1840" w:type="dxa"/>
            <w:vAlign w:val="bottom"/>
          </w:tcPr>
          <w:p>
            <w:pPr>
              <w:spacing w:after="0"/>
              <w:rPr>
                <w:sz w:val="20"/>
                <w:szCs w:val="20"/>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Accounting Policies;</w:t>
            </w:r>
          </w:p>
        </w:tc>
      </w:tr>
      <w:tr>
        <w:trPr>
          <w:trHeight w:val="418"/>
        </w:trPr>
        <w:tc>
          <w:tcPr>
            <w:tcW w:w="1840" w:type="dxa"/>
            <w:vAlign w:val="bottom"/>
          </w:tcPr>
          <w:p>
            <w:pPr>
              <w:ind w:left="1300"/>
              <w:spacing w:after="0"/>
              <w:rPr>
                <w:sz w:val="20"/>
                <w:szCs w:val="20"/>
                <w:color w:val="auto"/>
              </w:rPr>
            </w:pPr>
            <w:r>
              <w:rPr>
                <w:rFonts w:ascii="Arial" w:cs="Arial" w:eastAsia="Arial" w:hAnsi="Arial"/>
                <w:sz w:val="18"/>
                <w:szCs w:val="18"/>
                <w:color w:val="auto"/>
              </w:rPr>
              <w:t>(xlv)</w:t>
            </w:r>
          </w:p>
        </w:tc>
        <w:tc>
          <w:tcPr>
            <w:tcW w:w="9440" w:type="dxa"/>
            <w:vAlign w:val="bottom"/>
          </w:tcPr>
          <w:p>
            <w:pPr>
              <w:ind w:left="120"/>
              <w:spacing w:after="0"/>
              <w:rPr>
                <w:sz w:val="20"/>
                <w:szCs w:val="20"/>
                <w:color w:val="auto"/>
              </w:rPr>
            </w:pPr>
            <w:r>
              <w:rPr>
                <w:rFonts w:ascii="Arial" w:cs="Arial" w:eastAsia="Arial" w:hAnsi="Arial"/>
                <w:sz w:val="18"/>
                <w:szCs w:val="18"/>
                <w:color w:val="auto"/>
                <w:w w:val="99"/>
              </w:rPr>
              <w:t>The section entitled “Management’s Discussion and Analysis of Financial Condition and Results of Operations” in the</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0"/>
              </w:rPr>
              <w:t>Registration Statement, the Pricing Prospectus and the Prospectus accurately and fully describes (i) all material trends, demands,</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0"/>
              </w:rPr>
              <w:t>commitments, events, uncertainties and risks, and the potential effects thereof that the Company believes would materially affect</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5"/>
              </w:rPr>
              <w:t>liquidity and are reasonably likely to occur; and (ii) all material off-balance sheet arrangements that have or are reasonably</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3"/>
              </w:rPr>
              <w:t>likely to have a current or future effect on the financial condition, changes in financial condition, revenues or expenses, results</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2"/>
              </w:rPr>
              <w:t>of operations, liquidity, capital expenditures or capital resources of the Company and the Controlled Entities on a consolidated</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1"/>
              </w:rPr>
              <w:t>basis. All governmental tax waivers from national and local governments of the PRC and other local and national PRC tax relief,</w:t>
            </w:r>
          </w:p>
        </w:tc>
      </w:tr>
      <w:tr>
        <w:trPr>
          <w:trHeight w:val="216"/>
        </w:trPr>
        <w:tc>
          <w:tcPr>
            <w:tcW w:w="18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5"/>
              </w:rPr>
              <w:t>concession and preferential treatment obtained by the Company or the Controlled Entities as described in the Registration</w:t>
            </w:r>
          </w:p>
        </w:tc>
      </w:tr>
      <w:tr>
        <w:trPr>
          <w:trHeight w:val="230"/>
        </w:trPr>
        <w:tc>
          <w:tcPr>
            <w:tcW w:w="1840" w:type="dxa"/>
            <w:vAlign w:val="bottom"/>
          </w:tcPr>
          <w:p>
            <w:pPr>
              <w:spacing w:after="0"/>
              <w:rPr>
                <w:sz w:val="20"/>
                <w:szCs w:val="20"/>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Statement, the Pricing Prospectus and the Prospectus are valid, binding and enforceable;</w:t>
            </w:r>
          </w:p>
        </w:tc>
      </w:tr>
      <w:tr>
        <w:trPr>
          <w:trHeight w:val="432"/>
        </w:trPr>
        <w:tc>
          <w:tcPr>
            <w:tcW w:w="1840" w:type="dxa"/>
            <w:vAlign w:val="bottom"/>
          </w:tcPr>
          <w:p>
            <w:pPr>
              <w:spacing w:after="0"/>
              <w:rPr>
                <w:sz w:val="24"/>
                <w:szCs w:val="24"/>
                <w:color w:val="auto"/>
              </w:rPr>
            </w:pPr>
          </w:p>
        </w:tc>
        <w:tc>
          <w:tcPr>
            <w:tcW w:w="9440" w:type="dxa"/>
            <w:vAlign w:val="bottom"/>
          </w:tcPr>
          <w:p>
            <w:pPr>
              <w:ind w:left="3700"/>
              <w:spacing w:after="0"/>
              <w:rPr>
                <w:sz w:val="20"/>
                <w:szCs w:val="20"/>
                <w:color w:val="auto"/>
              </w:rPr>
            </w:pPr>
            <w:r>
              <w:rPr>
                <w:rFonts w:ascii="Arial" w:cs="Arial" w:eastAsia="Arial" w:hAnsi="Arial"/>
                <w:sz w:val="18"/>
                <w:szCs w:val="18"/>
                <w:color w:val="auto"/>
              </w:rPr>
              <w:t>17</w:t>
            </w:r>
          </w:p>
        </w:tc>
      </w:tr>
      <w:tr>
        <w:trPr>
          <w:trHeight w:val="132"/>
        </w:trPr>
        <w:tc>
          <w:tcPr>
            <w:tcW w:w="1840" w:type="dxa"/>
            <w:vAlign w:val="bottom"/>
            <w:tcBorders>
              <w:bottom w:val="single" w:sz="8" w:color="808080"/>
            </w:tcBorders>
          </w:tcPr>
          <w:p>
            <w:pPr>
              <w:spacing w:after="0"/>
              <w:rPr>
                <w:sz w:val="11"/>
                <w:szCs w:val="11"/>
                <w:color w:val="auto"/>
              </w:rPr>
            </w:pPr>
          </w:p>
        </w:tc>
        <w:tc>
          <w:tcPr>
            <w:tcW w:w="94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2" w:name="page33"/>
    <w:bookmarkEnd w:id="32"/>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(xlvi)</w:t>
      </w:r>
    </w:p>
    <w:p>
      <w:pPr>
        <w:spacing w:after="0" w:line="20" w:lineRule="exact"/>
        <w:rPr>
          <w:sz w:val="20"/>
          <w:szCs w:val="20"/>
          <w:color w:val="auto"/>
        </w:rPr>
      </w:pPr>
      <w:r>
        <w:rPr>
          <w:sz w:val="20"/>
          <w:szCs w:val="20"/>
          <w:color w:val="auto"/>
        </w:rPr>
        <w:br w:type="column"/>
      </w:r>
    </w:p>
    <w:p>
      <w:pPr>
        <w:ind w:right="200" w:firstLine="22"/>
        <w:spacing w:after="0" w:line="311" w:lineRule="auto"/>
        <w:rPr>
          <w:sz w:val="20"/>
          <w:szCs w:val="20"/>
          <w:color w:val="auto"/>
        </w:rPr>
      </w:pPr>
      <w:r>
        <w:rPr>
          <w:rFonts w:ascii="Arial" w:cs="Arial" w:eastAsia="Arial" w:hAnsi="Arial"/>
          <w:sz w:val="16"/>
          <w:szCs w:val="16"/>
          <w:color w:val="auto"/>
        </w:rPr>
        <w:t>Any third-party statistical, industry-related and market-related data included in the Registration Statement, the Pricing Prospectus and the Prospectus are based on or derived from sources that the Company believes to be reliable and accurate, and the Company has obtained the written consents to the use of such data from such sources to the extent required;</w:t>
      </w:r>
    </w:p>
    <w:p>
      <w:pPr>
        <w:spacing w:after="0" w:line="149" w:lineRule="exact"/>
        <w:rPr>
          <w:sz w:val="20"/>
          <w:szCs w:val="20"/>
          <w:color w:val="auto"/>
        </w:rPr>
      </w:pPr>
    </w:p>
    <w:p>
      <w:pPr>
        <w:sectPr>
          <w:pgSz w:w="11900" w:h="16841" w:orient="portrait"/>
          <w:cols w:equalWidth="0" w:num="2">
            <w:col w:w="1700" w:space="260"/>
            <w:col w:w="9320"/>
          </w:cols>
          <w:pgMar w:left="320" w:top="341" w:right="299" w:bottom="0" w:gutter="0" w:footer="0" w:header="0"/>
        </w:sectPr>
      </w:pPr>
    </w:p>
    <w:p>
      <w:pPr>
        <w:ind w:left="1300"/>
        <w:spacing w:after="0"/>
        <w:rPr>
          <w:sz w:val="20"/>
          <w:szCs w:val="20"/>
          <w:color w:val="auto"/>
        </w:rPr>
      </w:pPr>
      <w:r>
        <w:rPr>
          <w:rFonts w:ascii="Arial" w:cs="Arial" w:eastAsia="Arial" w:hAnsi="Arial"/>
          <w:sz w:val="18"/>
          <w:szCs w:val="18"/>
          <w:color w:val="auto"/>
        </w:rPr>
        <w:t>(xlvii)</w:t>
      </w:r>
    </w:p>
    <w:p>
      <w:pPr>
        <w:spacing w:after="0" w:line="20" w:lineRule="exact"/>
        <w:rPr>
          <w:sz w:val="20"/>
          <w:szCs w:val="20"/>
          <w:color w:val="auto"/>
        </w:rPr>
      </w:pPr>
      <w:r>
        <w:rPr>
          <w:sz w:val="20"/>
          <w:szCs w:val="20"/>
          <w:color w:val="auto"/>
        </w:rPr>
        <w:br w:type="column"/>
      </w:r>
    </w:p>
    <w:p>
      <w:pPr>
        <w:ind w:right="120" w:firstLine="31"/>
        <w:spacing w:after="0" w:line="301" w:lineRule="auto"/>
        <w:rPr>
          <w:sz w:val="20"/>
          <w:szCs w:val="20"/>
          <w:color w:val="auto"/>
        </w:rPr>
      </w:pPr>
      <w:r>
        <w:rPr>
          <w:rFonts w:ascii="Arial" w:cs="Arial" w:eastAsia="Arial" w:hAnsi="Arial"/>
          <w:sz w:val="16"/>
          <w:szCs w:val="16"/>
          <w:color w:val="auto"/>
        </w:rPr>
        <w:t>Except as disclosed in the Registration Statement, the Pricing Prospectus and the Prospectus, the Company has not sold, issued or distributed any Ordinary Shares during the six-month period preceding the date hereof, including any sales pursuant to Rule 144A, Regulation D or Regulation S promulgated under the Act, other than shares issued pursuant to employee benefit plans, qualified share option plans or other employee compensation plans or pursuant to outstanding options, rights or warrants;</w:t>
      </w:r>
    </w:p>
    <w:p>
      <w:pPr>
        <w:spacing w:after="0" w:line="157" w:lineRule="exact"/>
        <w:rPr>
          <w:sz w:val="20"/>
          <w:szCs w:val="20"/>
          <w:color w:val="auto"/>
        </w:rPr>
      </w:pPr>
    </w:p>
    <w:p>
      <w:pPr>
        <w:sectPr>
          <w:pgSz w:w="11900" w:h="16841" w:orient="portrait"/>
          <w:cols w:equalWidth="0" w:num="2">
            <w:col w:w="1760" w:space="200"/>
            <w:col w:w="9320"/>
          </w:cols>
          <w:pgMar w:left="320" w:top="341" w:right="299" w:bottom="0" w:gutter="0" w:footer="0" w:header="0"/>
          <w:type w:val="continuous"/>
        </w:sectPr>
      </w:pPr>
    </w:p>
    <w:p>
      <w:pPr>
        <w:ind w:left="1300"/>
        <w:spacing w:after="0"/>
        <w:rPr>
          <w:sz w:val="20"/>
          <w:szCs w:val="20"/>
          <w:color w:val="auto"/>
        </w:rPr>
      </w:pPr>
      <w:r>
        <w:rPr>
          <w:rFonts w:ascii="Arial" w:cs="Arial" w:eastAsia="Arial" w:hAnsi="Arial"/>
          <w:sz w:val="18"/>
          <w:szCs w:val="18"/>
          <w:color w:val="auto"/>
        </w:rPr>
        <w:t>(xlvii)</w:t>
      </w:r>
    </w:p>
    <w:p>
      <w:pPr>
        <w:spacing w:after="0" w:line="20" w:lineRule="exact"/>
        <w:rPr>
          <w:sz w:val="20"/>
          <w:szCs w:val="20"/>
          <w:color w:val="auto"/>
        </w:rPr>
      </w:pPr>
      <w:r>
        <w:rPr>
          <w:sz w:val="20"/>
          <w:szCs w:val="20"/>
          <w:color w:val="auto"/>
        </w:rPr>
        <w:br w:type="column"/>
      </w:r>
    </w:p>
    <w:p>
      <w:pPr>
        <w:ind w:right="240" w:firstLine="31"/>
        <w:spacing w:after="0" w:line="263" w:lineRule="auto"/>
        <w:rPr>
          <w:sz w:val="20"/>
          <w:szCs w:val="20"/>
          <w:color w:val="auto"/>
        </w:rPr>
      </w:pPr>
      <w:r>
        <w:rPr>
          <w:rFonts w:ascii="Arial" w:cs="Arial" w:eastAsia="Arial" w:hAnsi="Arial"/>
          <w:sz w:val="18"/>
          <w:szCs w:val="18"/>
          <w:color w:val="auto"/>
        </w:rPr>
        <w:t>From the time of initial confidential submission of a registration statement relating to the ADSs with the Commission through the date hereof, the Company has been and is an “emerging growth company” as defined in Section 2(a)(19) of the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p>
    <w:p>
      <w:pPr>
        <w:spacing w:after="0" w:line="184" w:lineRule="exact"/>
        <w:rPr>
          <w:sz w:val="20"/>
          <w:szCs w:val="20"/>
          <w:color w:val="auto"/>
        </w:rPr>
      </w:pPr>
    </w:p>
    <w:p>
      <w:pPr>
        <w:sectPr>
          <w:pgSz w:w="11900" w:h="16841" w:orient="portrait"/>
          <w:cols w:equalWidth="0" w:num="2">
            <w:col w:w="1760" w:space="200"/>
            <w:col w:w="9320"/>
          </w:cols>
          <w:pgMar w:left="320" w:top="341" w:right="299" w:bottom="0" w:gutter="0" w:footer="0" w:header="0"/>
          <w:type w:val="continuous"/>
        </w:sectPr>
      </w:pPr>
    </w:p>
    <w:p>
      <w:pPr>
        <w:ind w:left="1300"/>
        <w:spacing w:after="0"/>
        <w:rPr>
          <w:sz w:val="20"/>
          <w:szCs w:val="20"/>
          <w:color w:val="auto"/>
        </w:rPr>
      </w:pPr>
      <w:r>
        <w:rPr>
          <w:rFonts w:ascii="Arial" w:cs="Arial" w:eastAsia="Arial" w:hAnsi="Arial"/>
          <w:sz w:val="18"/>
          <w:szCs w:val="18"/>
          <w:color w:val="auto"/>
        </w:rPr>
        <w:t>(xlviii)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 is a “foreign private issuer” as defined in Rule 405 of the Securities Act;</w:t>
      </w:r>
    </w:p>
    <w:p>
      <w:pPr>
        <w:spacing w:after="0" w:line="222" w:lineRule="exact"/>
        <w:rPr>
          <w:sz w:val="20"/>
          <w:szCs w:val="20"/>
          <w:color w:val="auto"/>
        </w:rPr>
      </w:pPr>
    </w:p>
    <w:p>
      <w:pPr>
        <w:sectPr>
          <w:pgSz w:w="11900" w:h="16841" w:orient="portrait"/>
          <w:cols w:equalWidth="0" w:num="2">
            <w:col w:w="1800" w:space="200"/>
            <w:col w:w="9280"/>
          </w:cols>
          <w:pgMar w:left="320" w:top="341" w:right="299" w:bottom="0" w:gutter="0" w:footer="0" w:header="0"/>
          <w:type w:val="continuous"/>
        </w:sectPr>
      </w:pPr>
    </w:p>
    <w:p>
      <w:pPr>
        <w:spacing w:after="0" w:line="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(xlix)</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20" w:firstLine="22"/>
        <w:spacing w:after="0" w:line="255" w:lineRule="auto"/>
        <w:rPr>
          <w:sz w:val="20"/>
          <w:szCs w:val="20"/>
          <w:color w:val="auto"/>
        </w:rPr>
      </w:pPr>
      <w:r>
        <w:rPr>
          <w:rFonts w:ascii="Arial" w:cs="Arial" w:eastAsia="Arial" w:hAnsi="Arial"/>
          <w:sz w:val="18"/>
          <w:szCs w:val="18"/>
          <w:color w:val="auto"/>
        </w:rPr>
        <w:t>The issuance and sale of Class A Ordinary Shares by the Company to Inspired Elite Investment Limited, Bytedance (HK) Limited, Zijin Global Inc. and Kevin Sunny Holding Limited (collectively, the “</w:t>
      </w:r>
      <w:r>
        <w:rPr>
          <w:rFonts w:ascii="Arial" w:cs="Arial" w:eastAsia="Arial" w:hAnsi="Arial"/>
          <w:sz w:val="18"/>
          <w:szCs w:val="18"/>
          <w:b w:val="1"/>
          <w:bCs w:val="1"/>
          <w:color w:val="auto"/>
        </w:rPr>
        <w:t>CPP Investors</w:t>
      </w:r>
      <w:r>
        <w:rPr>
          <w:rFonts w:ascii="Arial" w:cs="Arial" w:eastAsia="Arial" w:hAnsi="Arial"/>
          <w:sz w:val="18"/>
          <w:szCs w:val="18"/>
          <w:color w:val="auto"/>
        </w:rPr>
        <w:t>”) pursuant to subscription agreements each dated July 22, 2020 (the “</w:t>
      </w:r>
      <w:r>
        <w:rPr>
          <w:rFonts w:ascii="Arial" w:cs="Arial" w:eastAsia="Arial" w:hAnsi="Arial"/>
          <w:sz w:val="18"/>
          <w:szCs w:val="18"/>
          <w:b w:val="1"/>
          <w:bCs w:val="1"/>
          <w:color w:val="auto"/>
        </w:rPr>
        <w:t>Private Placement</w:t>
      </w:r>
      <w:r>
        <w:rPr>
          <w:rFonts w:ascii="Arial" w:cs="Arial" w:eastAsia="Arial" w:hAnsi="Arial"/>
          <w:sz w:val="18"/>
          <w:szCs w:val="18"/>
          <w:color w:val="auto"/>
        </w:rPr>
        <w:t>”) was conducted in accordance with Regulation S under the Securities Act and all requirements of Regulation S were duly complied with by the Company and the CPP Investors. The Private Placement will not be integrated with the offering of the ADSs hereunder pursuant to applicable rules and regulations issued under the Securities Act.</w:t>
      </w:r>
    </w:p>
    <w:p>
      <w:pPr>
        <w:spacing w:after="0" w:line="192" w:lineRule="exact"/>
        <w:rPr>
          <w:sz w:val="20"/>
          <w:szCs w:val="20"/>
          <w:color w:val="auto"/>
        </w:rPr>
      </w:pPr>
    </w:p>
    <w:p>
      <w:pPr>
        <w:sectPr>
          <w:pgSz w:w="11900" w:h="16841" w:orient="portrait"/>
          <w:cols w:equalWidth="0" w:num="2">
            <w:col w:w="1700" w:space="260"/>
            <w:col w:w="9320"/>
          </w:cols>
          <w:pgMar w:left="320" w:top="341" w:right="299" w:bottom="0" w:gutter="0" w:footer="0" w:header="0"/>
          <w:type w:val="continuous"/>
        </w:sectPr>
      </w:pPr>
    </w:p>
    <w:p>
      <w:pPr>
        <w:ind w:left="1960" w:right="60" w:hanging="656"/>
        <w:spacing w:after="0" w:line="287" w:lineRule="auto"/>
        <w:tabs>
          <w:tab w:leader="none" w:pos="19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choice of the law of the State of New York as the governing law of this Agreement or the Deposit Agreement is a valid choice of law under the laws of the Cayman Islands and will be observed and given effect to by courts in the Cayman Islands. The Company has the power to submit, and pursuant to Section 18 hereof, has legally, validly, effectively and irrevocably submitted, to the personal jurisdiction of each United States federal court and New York state court located in the Borough of Manhattan, in the City of New York, New York, U.S.A. (each, a “</w:t>
      </w:r>
      <w:r>
        <w:rPr>
          <w:rFonts w:ascii="Arial" w:cs="Arial" w:eastAsia="Arial" w:hAnsi="Arial"/>
          <w:sz w:val="16"/>
          <w:szCs w:val="16"/>
          <w:b w:val="1"/>
          <w:bCs w:val="1"/>
          <w:color w:val="auto"/>
        </w:rPr>
        <w:t>New York Court</w:t>
      </w:r>
      <w:r>
        <w:rPr>
          <w:rFonts w:ascii="Arial" w:cs="Arial" w:eastAsia="Arial" w:hAnsi="Arial"/>
          <w:sz w:val="16"/>
          <w:szCs w:val="16"/>
          <w:color w:val="auto"/>
        </w:rPr>
        <w:t>”). The Company has the power to submit, and, pursuant to Section 7.6 of the Deposit Agreement has legally, validly and effectively submitted, to the personal jurisdiction of each New York Court. The Company has the power to designate, appoint and authorize, and pursuant to Section 18 hereof and Section 7.6 of the Deposit Agreement, has legally, validly, effectively and irrevocably designated, appointed an authorized agent for service of process in any action arising out of or relating to this Agreement or the Deposit Agreement in any New York Court, and service of process effected on such authorized agent will be effective to confer valid personal jurisdiction over the Company as provided in Section 18 hereof and Section 7.6 of the Deposit Agreement; and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ind w:left="1300"/>
              <w:spacing w:after="0"/>
              <w:rPr>
                <w:sz w:val="20"/>
                <w:szCs w:val="20"/>
                <w:color w:val="auto"/>
              </w:rPr>
            </w:pPr>
            <w:r>
              <w:rPr>
                <w:rFonts w:ascii="Arial" w:cs="Arial" w:eastAsia="Arial" w:hAnsi="Arial"/>
                <w:sz w:val="18"/>
                <w:szCs w:val="18"/>
                <w:color w:val="auto"/>
              </w:rPr>
              <w:t>(li)</w:t>
            </w:r>
          </w:p>
        </w:tc>
        <w:tc>
          <w:tcPr>
            <w:tcW w:w="9540" w:type="dxa"/>
            <w:vAlign w:val="bottom"/>
          </w:tcPr>
          <w:p>
            <w:pPr>
              <w:ind w:left="240"/>
              <w:spacing w:after="0"/>
              <w:rPr>
                <w:sz w:val="20"/>
                <w:szCs w:val="20"/>
                <w:color w:val="auto"/>
              </w:rPr>
            </w:pPr>
            <w:r>
              <w:rPr>
                <w:rFonts w:ascii="Arial" w:cs="Arial" w:eastAsia="Arial" w:hAnsi="Arial"/>
                <w:sz w:val="18"/>
                <w:szCs w:val="18"/>
                <w:color w:val="auto"/>
                <w:w w:val="93"/>
              </w:rPr>
              <w:t>The Company, any of the Controlled Entities or any of its respective properties, assets or revenues does not have any right of</w:t>
            </w:r>
          </w:p>
        </w:tc>
      </w:tr>
      <w:tr>
        <w:trPr>
          <w:trHeight w:val="216"/>
        </w:trPr>
        <w:tc>
          <w:tcPr>
            <w:tcW w:w="174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2"/>
              </w:rPr>
              <w:t>immunity under Cayman Islands, PRC or New York laws, from any legal action, suit or proceeding, from the giving of any relief</w:t>
            </w:r>
          </w:p>
        </w:tc>
      </w:tr>
      <w:tr>
        <w:trPr>
          <w:trHeight w:val="216"/>
        </w:trPr>
        <w:tc>
          <w:tcPr>
            <w:tcW w:w="174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5"/>
              </w:rPr>
              <w:t>in any such legal action, suit or proceeding, from set-off or counterclaim, from the jurisdiction of any Cayman Islands, PRC,</w:t>
            </w:r>
          </w:p>
        </w:tc>
      </w:tr>
      <w:tr>
        <w:trPr>
          <w:trHeight w:val="216"/>
        </w:trPr>
        <w:tc>
          <w:tcPr>
            <w:tcW w:w="174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2"/>
              </w:rPr>
              <w:t>New York or United States federal court, from service of process, attachment upon or prior to judgment, or attachment in aid of</w:t>
            </w:r>
          </w:p>
        </w:tc>
      </w:tr>
      <w:tr>
        <w:trPr>
          <w:trHeight w:val="216"/>
        </w:trPr>
        <w:tc>
          <w:tcPr>
            <w:tcW w:w="174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3"/>
              </w:rPr>
              <w:t>execution of judgment, or from execution of a judgment, or other legal process or proceeding for the giving of any relief or for</w:t>
            </w:r>
          </w:p>
        </w:tc>
      </w:tr>
      <w:tr>
        <w:trPr>
          <w:trHeight w:val="216"/>
        </w:trPr>
        <w:tc>
          <w:tcPr>
            <w:tcW w:w="174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3"/>
              </w:rPr>
              <w:t>the enforcement of a judgment, in any such court, with respect to its obligations, liabilities or any other matter under or arising</w:t>
            </w:r>
          </w:p>
        </w:tc>
      </w:tr>
      <w:tr>
        <w:trPr>
          <w:trHeight w:val="216"/>
        </w:trPr>
        <w:tc>
          <w:tcPr>
            <w:tcW w:w="174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7"/>
              </w:rPr>
              <w:t>out of or in connection with this Agreement or the Deposit Agreement; and, to the extent that the Company, or any of its</w:t>
            </w:r>
          </w:p>
        </w:tc>
      </w:tr>
      <w:tr>
        <w:trPr>
          <w:trHeight w:val="216"/>
        </w:trPr>
        <w:tc>
          <w:tcPr>
            <w:tcW w:w="174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4"/>
              </w:rPr>
              <w:t>properties, assets or revenues may have or may hereafter become entitled to any such right of immunity in any such court in</w:t>
            </w:r>
          </w:p>
        </w:tc>
      </w:tr>
      <w:tr>
        <w:trPr>
          <w:trHeight w:val="216"/>
        </w:trPr>
        <w:tc>
          <w:tcPr>
            <w:tcW w:w="174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1"/>
              </w:rPr>
              <w:t>which proceedings may at any time be commenced, the Company waives or will waive such right to the extent permitted by law</w:t>
            </w:r>
          </w:p>
        </w:tc>
      </w:tr>
      <w:tr>
        <w:trPr>
          <w:trHeight w:val="230"/>
        </w:trPr>
        <w:tc>
          <w:tcPr>
            <w:tcW w:w="174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and has consented to such relief and enforcement as provided in Section 18 hereof.</w:t>
            </w:r>
          </w:p>
        </w:tc>
      </w:tr>
      <w:tr>
        <w:trPr>
          <w:trHeight w:val="432"/>
        </w:trPr>
        <w:tc>
          <w:tcPr>
            <w:tcW w:w="1740" w:type="dxa"/>
            <w:vAlign w:val="bottom"/>
          </w:tcPr>
          <w:p>
            <w:pPr>
              <w:spacing w:after="0"/>
              <w:rPr>
                <w:sz w:val="24"/>
                <w:szCs w:val="24"/>
                <w:color w:val="auto"/>
              </w:rPr>
            </w:pPr>
          </w:p>
        </w:tc>
        <w:tc>
          <w:tcPr>
            <w:tcW w:w="9540" w:type="dxa"/>
            <w:vAlign w:val="bottom"/>
          </w:tcPr>
          <w:p>
            <w:pPr>
              <w:ind w:left="3800"/>
              <w:spacing w:after="0"/>
              <w:rPr>
                <w:sz w:val="20"/>
                <w:szCs w:val="20"/>
                <w:color w:val="auto"/>
              </w:rPr>
            </w:pPr>
            <w:r>
              <w:rPr>
                <w:rFonts w:ascii="Arial" w:cs="Arial" w:eastAsia="Arial" w:hAnsi="Arial"/>
                <w:sz w:val="18"/>
                <w:szCs w:val="18"/>
                <w:color w:val="auto"/>
              </w:rPr>
              <w:t>18</w:t>
            </w:r>
          </w:p>
        </w:tc>
      </w:tr>
      <w:tr>
        <w:trPr>
          <w:trHeight w:val="132"/>
        </w:trPr>
        <w:tc>
          <w:tcPr>
            <w:tcW w:w="1740" w:type="dxa"/>
            <w:vAlign w:val="bottom"/>
            <w:tcBorders>
              <w:bottom w:val="single" w:sz="8" w:color="808080"/>
            </w:tcBorders>
          </w:tcPr>
          <w:p>
            <w:pPr>
              <w:spacing w:after="0"/>
              <w:rPr>
                <w:sz w:val="11"/>
                <w:szCs w:val="11"/>
                <w:color w:val="auto"/>
              </w:rPr>
            </w:pPr>
          </w:p>
        </w:tc>
        <w:tc>
          <w:tcPr>
            <w:tcW w:w="95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6" w:lineRule="exact"/>
        <w:rPr>
          <w:sz w:val="20"/>
          <w:szCs w:val="20"/>
          <w:color w:val="auto"/>
        </w:rPr>
      </w:pPr>
    </w:p>
    <w:p>
      <w:pPr>
        <w:ind w:right="60" w:firstLine="656"/>
        <w:spacing w:after="0" w:line="269" w:lineRule="auto"/>
        <w:tabs>
          <w:tab w:leader="none" w:pos="1368"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Company agrees to sell to each of the Underwriters, and each of the Underwriters agrees, severally and not jointly, to purchase from the Company, at a purchase price of US$[·] per ADS, the number of Firm ADSs (to be adjusted by you so as to eliminate fractional shares) set forth opposite the name of such Underwriter in Schedule I hereto and (b) in the event and to the extent that the Underwriters shall exercise the election to purchase Optional ADSs as provided below, the Company agrees to sell to each of the Underwriters, and each of the Underwriters agrees, severally and not jointly, to purchase from the Company, at the purchase price per ADSs set forth in clause (a) of this Section 2 (provided that the purchase price per Optional ADSs shall be reduced by an amount per ADS equal to any dividends or distributions declared by the Company and payable on the Firm ADSs but not payable on the Optional ADSs), that portion of the number of Optional ADSs as to which such election shall have been exercised (to be adjusted by you so as to eliminate fractional shares) determined by multiplying such number of Optional ADSs by a fraction, the numerator of which is the maximum number of Optional ADSs which such Underwriter is entitled to purchase as set forth opposite the name of such Underwriter in Schedule I hereto and the denominator of which is the maximum number of Optional ADSs that all of the Underwriters are entitled to purchase hereunder.</w:t>
      </w:r>
    </w:p>
    <w:p>
      <w:pPr>
        <w:spacing w:after="0" w:line="182" w:lineRule="exact"/>
        <w:rPr>
          <w:sz w:val="20"/>
          <w:szCs w:val="20"/>
          <w:color w:val="auto"/>
        </w:rPr>
      </w:pPr>
    </w:p>
    <w:p>
      <w:pPr>
        <w:ind w:right="60" w:firstLine="638"/>
        <w:spacing w:after="0" w:line="291" w:lineRule="auto"/>
        <w:rPr>
          <w:sz w:val="20"/>
          <w:szCs w:val="20"/>
          <w:color w:val="auto"/>
        </w:rPr>
      </w:pPr>
      <w:r>
        <w:rPr>
          <w:rFonts w:ascii="Arial" w:cs="Arial" w:eastAsia="Arial" w:hAnsi="Arial"/>
          <w:sz w:val="16"/>
          <w:szCs w:val="16"/>
          <w:color w:val="auto"/>
        </w:rPr>
        <w:t>The Company hereby grants to the Underwriters the right to purchase at their election up to [·] Optional ADSs, at the purchase price per share set forth in the paragraph above, for the sole purpose of covering sales of shares in excess of the number of Firm ADSs, provided that the purchase price per Optional ADS shall be reduced by an amount per share equal to any dividends or distributions declared by the Company and payable on the Firm ADSs but not payable on the Optional ADSs. Any such election to purchase Optional ADSs may be exercised only by written notice from you to the Company, given within a period of 30 calendar days after the date of the Prospectus and setting forth the aggregate number of Optional ADSs to be purchased and the date on which such Optional ADSs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66" w:lineRule="exact"/>
        <w:rPr>
          <w:sz w:val="20"/>
          <w:szCs w:val="20"/>
          <w:color w:val="auto"/>
        </w:rPr>
      </w:pPr>
    </w:p>
    <w:p>
      <w:pPr>
        <w:ind w:right="200" w:firstLine="656"/>
        <w:spacing w:after="0" w:line="277" w:lineRule="auto"/>
        <w:tabs>
          <w:tab w:leader="none" w:pos="13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ADSs, the several Underwriters propose to offer the Firm ADSs for sale upon the terms and conditions set forth in the Prospectus.</w:t>
      </w:r>
    </w:p>
    <w:p>
      <w:pPr>
        <w:spacing w:after="0" w:line="170" w:lineRule="exact"/>
        <w:rPr>
          <w:rFonts w:ascii="Arial" w:cs="Arial" w:eastAsia="Arial" w:hAnsi="Arial"/>
          <w:sz w:val="18"/>
          <w:szCs w:val="18"/>
          <w:color w:val="auto"/>
        </w:rPr>
      </w:pPr>
    </w:p>
    <w:p>
      <w:pPr>
        <w:ind w:right="120" w:firstLine="656"/>
        <w:spacing w:after="0" w:line="301" w:lineRule="auto"/>
        <w:tabs>
          <w:tab w:leader="none" w:pos="1368"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The ADSs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 of such Underwriter, against payment by or on behalf of such Underwriter of the purchase price therefor by wire transfer of Federal or other immediately available</w:t>
      </w:r>
    </w:p>
    <w:p>
      <w:pPr>
        <w:sectPr>
          <w:pgSz w:w="11900" w:h="16841" w:orient="portrait"/>
          <w:cols w:equalWidth="0" w:num="1">
            <w:col w:w="11280"/>
          </w:cols>
          <w:pgMar w:left="320" w:top="341" w:right="299" w:bottom="0" w:gutter="0" w:footer="0" w:header="0"/>
          <w:type w:val="continuous"/>
        </w:sectPr>
      </w:pPr>
    </w:p>
    <w:bookmarkStart w:id="33" w:name="page34"/>
    <w:bookmarkEnd w:id="33"/>
    <w:p>
      <w:pPr>
        <w:spacing w:after="0" w:line="254" w:lineRule="auto"/>
        <w:rPr>
          <w:sz w:val="20"/>
          <w:szCs w:val="20"/>
          <w:color w:val="auto"/>
        </w:rPr>
      </w:pPr>
      <w:r>
        <w:rPr>
          <w:rFonts w:ascii="Arial" w:cs="Arial" w:eastAsia="Arial" w:hAnsi="Arial"/>
          <w:sz w:val="18"/>
          <w:szCs w:val="18"/>
          <w:color w:val="auto"/>
        </w:rPr>
        <w:t>funds to the account(s) specified by the Company at least forty-eight hours in advance. The time and date of such delivery and payment shall be, with respect to the Firm ADSs, [9:30] a.m., New York time, on [·], 2020 or such other time and date as the Representatives, the Company may agree upon in writing, and, with respect to the Optional ADSs, [9:30] a.m., New York time, on the date specified by the Representatives in each written notice given by the Representatives of the Underwriters’ election to purchase such Optional ADSs, or such other time and date as the Representatives, the Company may agree upon in writing. Such time and date for delivery of the Firm ADSs is herein called the “</w:t>
      </w:r>
      <w:r>
        <w:rPr>
          <w:rFonts w:ascii="Arial" w:cs="Arial" w:eastAsia="Arial" w:hAnsi="Arial"/>
          <w:sz w:val="18"/>
          <w:szCs w:val="18"/>
          <w:b w:val="1"/>
          <w:bCs w:val="1"/>
          <w:color w:val="auto"/>
        </w:rPr>
        <w:t>First Time of Delivery</w:t>
      </w:r>
      <w:r>
        <w:rPr>
          <w:rFonts w:ascii="Arial" w:cs="Arial" w:eastAsia="Arial" w:hAnsi="Arial"/>
          <w:sz w:val="18"/>
          <w:szCs w:val="18"/>
          <w:color w:val="auto"/>
        </w:rPr>
        <w:t>”, each such time and date for delivery of the Optional ADSs, if not the First Time of Delivery, is herein called the “</w:t>
      </w:r>
      <w:r>
        <w:rPr>
          <w:rFonts w:ascii="Arial" w:cs="Arial" w:eastAsia="Arial" w:hAnsi="Arial"/>
          <w:sz w:val="18"/>
          <w:szCs w:val="18"/>
          <w:b w:val="1"/>
          <w:bCs w:val="1"/>
          <w:color w:val="auto"/>
        </w:rPr>
        <w:t>Second Time of Delivery</w:t>
      </w:r>
      <w:r>
        <w:rPr>
          <w:rFonts w:ascii="Arial" w:cs="Arial" w:eastAsia="Arial" w:hAnsi="Arial"/>
          <w:sz w:val="18"/>
          <w:szCs w:val="18"/>
          <w:color w:val="auto"/>
        </w:rPr>
        <w:t>”, and each such time and date for delivery is herein called a “</w:t>
      </w:r>
      <w:r>
        <w:rPr>
          <w:rFonts w:ascii="Arial" w:cs="Arial" w:eastAsia="Arial" w:hAnsi="Arial"/>
          <w:sz w:val="18"/>
          <w:szCs w:val="18"/>
          <w:b w:val="1"/>
          <w:bCs w:val="1"/>
          <w:color w:val="auto"/>
        </w:rPr>
        <w:t>Time of Delivery</w:t>
      </w:r>
      <w:r>
        <w:rPr>
          <w:rFonts w:ascii="Arial" w:cs="Arial" w:eastAsia="Arial" w:hAnsi="Arial"/>
          <w:sz w:val="18"/>
          <w:szCs w:val="18"/>
          <w:color w:val="auto"/>
        </w:rPr>
        <w: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ind w:left="-20" w:firstLine="656"/>
        <w:spacing w:after="0" w:line="293" w:lineRule="auto"/>
        <w:tabs>
          <w:tab w:leader="none" w:pos="133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documents to be delivered at each Time of Delivery by or on behalf of the parties hereto pursuant to Section 8 hereof will be delivered at the offices of Kirkland &amp; Ellis International LLP: 26th Floor, Gloucester Tower, The Landmark, 15 Queen’s Road Central, Hong Kong (the “Closing Location”) all at such Time of Delivery, provided, however, that unless physical delivery is requested by the Representatives, such documents may be delivered electronically. Final drafts of documents shall be delivered for review by 4 p.m., New York City time, on the New York Business Day next preceding such Time of Delivery.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164" w:lineRule="exact"/>
        <w:rPr>
          <w:sz w:val="20"/>
          <w:szCs w:val="20"/>
          <w:color w:val="auto"/>
        </w:rPr>
      </w:pPr>
    </w:p>
    <w:p>
      <w:pPr>
        <w:ind w:left="1360" w:hanging="724"/>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The Company agrees with each of the Underwriters:</w:t>
      </w:r>
    </w:p>
    <w:p>
      <w:pPr>
        <w:spacing w:after="0" w:line="225" w:lineRule="exact"/>
        <w:rPr>
          <w:sz w:val="20"/>
          <w:szCs w:val="20"/>
          <w:color w:val="auto"/>
        </w:rPr>
      </w:pPr>
    </w:p>
    <w:p>
      <w:pPr>
        <w:ind w:left="-20" w:right="40" w:firstLine="656"/>
        <w:spacing w:after="0" w:line="269" w:lineRule="auto"/>
        <w:tabs>
          <w:tab w:leader="none" w:pos="1323"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ADSs, of the suspension of the qualification of the ADSs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78" w:lineRule="exact"/>
        <w:rPr>
          <w:rFonts w:ascii="Arial" w:cs="Arial" w:eastAsia="Arial" w:hAnsi="Arial"/>
          <w:sz w:val="17"/>
          <w:szCs w:val="17"/>
          <w:color w:val="auto"/>
        </w:rPr>
      </w:pPr>
    </w:p>
    <w:p>
      <w:pPr>
        <w:ind w:left="-20" w:right="120" w:firstLine="656"/>
        <w:spacing w:after="0" w:line="257" w:lineRule="auto"/>
        <w:tabs>
          <w:tab w:leader="none" w:pos="13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you may reasonably request to qualify the ADSs for offering and sale under the securities laws of such jurisdictions as you may request and to comply with such laws so as to permit the continuance of sales and dealings therein in such jurisdictions for as long as may be necessary to complete the distribution of the ADSs, provided that in connection therewith the Company shall not be required to qualify as a foreign corporation (where not otherwise required) or to file a general consent to service of process in any jurisdiction (where not otherwise required);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35" w:name="page36"/>
    <w:bookmarkEnd w:id="35"/>
    <w:p>
      <w:pPr>
        <w:ind w:left="-20" w:right="40" w:firstLine="656"/>
        <w:spacing w:after="0" w:line="268" w:lineRule="auto"/>
        <w:tabs>
          <w:tab w:leader="none" w:pos="1323"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ADSs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ADSs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84" w:lineRule="exact"/>
        <w:rPr>
          <w:rFonts w:ascii="Arial" w:cs="Arial" w:eastAsia="Arial" w:hAnsi="Arial"/>
          <w:sz w:val="17"/>
          <w:szCs w:val="17"/>
          <w:color w:val="auto"/>
        </w:rPr>
      </w:pPr>
    </w:p>
    <w:p>
      <w:pPr>
        <w:ind w:left="-20" w:right="160" w:firstLine="656"/>
        <w:spacing w:after="0" w:line="259" w:lineRule="auto"/>
        <w:tabs>
          <w:tab w:leader="none" w:pos="13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make generally available to its security holders as soon as practicable, but in any event not later than sixteen months after the effective date of the Registration Statement (as defined in Rule 158(c) under the Act), an earnings statement of the Company and the Controlled Entities (which need not be audited) complying with Section 11(a) of the Act and the rules and regulations of the Commission thereunder (including, at the option of the Company, Rule 158);</w:t>
      </w:r>
    </w:p>
    <w:p>
      <w:pPr>
        <w:spacing w:after="0" w:line="186" w:lineRule="exact"/>
        <w:rPr>
          <w:rFonts w:ascii="Arial" w:cs="Arial" w:eastAsia="Arial" w:hAnsi="Arial"/>
          <w:sz w:val="18"/>
          <w:szCs w:val="18"/>
          <w:color w:val="auto"/>
        </w:rPr>
      </w:pPr>
    </w:p>
    <w:p>
      <w:pPr>
        <w:ind w:left="1940" w:hanging="1304"/>
        <w:spacing w:after="0" w:line="284" w:lineRule="auto"/>
        <w:tabs>
          <w:tab w:leader="none" w:pos="13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During the period beginning from the date hereof and continuing to and including the date 180 days after the date of the Prospectus (the “</w:t>
      </w:r>
      <w:r>
        <w:rPr>
          <w:rFonts w:ascii="Arial" w:cs="Arial" w:eastAsia="Arial" w:hAnsi="Arial"/>
          <w:sz w:val="16"/>
          <w:szCs w:val="16"/>
          <w:b w:val="1"/>
          <w:bCs w:val="1"/>
          <w:color w:val="auto"/>
        </w:rPr>
        <w:t>Lock-Up Period</w:t>
      </w:r>
      <w:r>
        <w:rPr>
          <w:rFonts w:ascii="Arial" w:cs="Arial" w:eastAsia="Arial" w:hAnsi="Arial"/>
          <w:sz w:val="16"/>
          <w:szCs w:val="16"/>
          <w:color w:val="auto"/>
        </w:rPr>
        <w:t>”), not to (i)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ADSs, including but not limited to any options or warrants to purchase Ordinary Shares or ADSs or any securities that are convertible into or exchangeable for, or that represent the right to receive, Ordinary Shares or ADSs or any such substantially similar securities, or publicly disclose the intention to make any offer, sale, pledge, disposition or filing or (ii) enter into any swap or other agreement that transfers, in whole or in part, any of the economic consequences of ownership of Ordinary Shares or ADSs or any such other securities, whether any such transaction described in clause (i) or (ii) above is to be settled by delivery of Ordinary Shares or ADSs or such other securities, in cash or otherwise (other than the Ordinary Shares or the ADSs to be sold hereunder upon the conversion or exchange of convertible or exchangeable securities outstanding as of, the date of this Agreement), without the prior written consent of the Representatives; the restrictions contained in this paragraph shall not apply to (i) the grant of awards under share incentive plans as disclosed in the Registration Statement, the Pricing Prospectus and the Prospectus, provided that any awards granted shall not be Ordinary Shares or ADSs, and shall not (i) vest in the case of Restricted Shares, or (ii) be exercisable or otherwise convertible into or exchangeable for Ordinary Shares or ADSs during the Lock-Up Period, (ii) any registration statement on Form S-8 to register securities to be issued pursuant to employee share option plans as disclosed in the Registration Statement, the Pricing Prospectus and the Prospectus, or (iii) the establishment of a trading plan pursuant to Rule 10b5-1 under the Exchange Act for the transfer of Ordinary Shares or American Depositary Shares, provided that (x) such plan does not provide for the transfer of Ordinary Shares or American Depositary Shares during the Lock-Up Period and (y) to the extent a public announcement or filing under the Exchange Act, if any, is required of or voluntarily made by the Company regarding the establishment of such plan, such announcement or filing shall include a statement to the effect that no transfer of Ordinary Shares or ADSs may be made under such plan during the Lock-Up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36" w:name="page37"/>
    <w:bookmarkEnd w:id="36"/>
    <w:p>
      <w:pPr>
        <w:ind w:left="1860" w:hanging="656"/>
        <w:spacing w:after="0" w:line="275" w:lineRule="auto"/>
        <w:tabs>
          <w:tab w:leader="none" w:pos="1891" w:val="left"/>
        </w:tabs>
        <w:numPr>
          <w:ilvl w:val="1"/>
          <w:numId w:val="32"/>
        </w:numPr>
        <w:rPr>
          <w:rFonts w:ascii="Arial" w:cs="Arial" w:eastAsia="Arial" w:hAnsi="Arial"/>
          <w:sz w:val="17"/>
          <w:szCs w:val="17"/>
          <w:color w:val="auto"/>
        </w:rPr>
      </w:pPr>
      <w:r>
        <w:rPr>
          <w:rFonts w:ascii="Arial" w:cs="Arial" w:eastAsia="Arial" w:hAnsi="Arial"/>
          <w:sz w:val="17"/>
          <w:szCs w:val="17"/>
          <w:color w:val="auto"/>
        </w:rPr>
        <w:t>If the Representatives, in their sole discretion, agree to release or waive the restrictions in lock-up letters described in Section 8(n) hereof, in each case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Annex A hereto through a major news service at least two business days before the effective date of the release or waiver;</w:t>
      </w:r>
    </w:p>
    <w:p>
      <w:pPr>
        <w:spacing w:after="0" w:line="176" w:lineRule="exact"/>
        <w:rPr>
          <w:rFonts w:ascii="Arial" w:cs="Arial" w:eastAsia="Arial" w:hAnsi="Arial"/>
          <w:sz w:val="17"/>
          <w:szCs w:val="17"/>
          <w:color w:val="auto"/>
        </w:rPr>
      </w:pPr>
    </w:p>
    <w:p>
      <w:pPr>
        <w:ind w:left="-100" w:right="340" w:firstLine="656"/>
        <w:spacing w:after="0" w:line="263" w:lineRule="auto"/>
        <w:tabs>
          <w:tab w:leader="none" w:pos="12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furnish to its shareholders as soon as practicable after the end of each fiscal year an annual report (including a balance sheet and statements of income, shareholders’ equity and cash flows of the Company and its consolidated Controlled Entities certified by independent public accountants);</w:t>
      </w:r>
    </w:p>
    <w:p>
      <w:pPr>
        <w:spacing w:after="0" w:line="183" w:lineRule="exact"/>
        <w:rPr>
          <w:rFonts w:ascii="Arial" w:cs="Arial" w:eastAsia="Arial" w:hAnsi="Arial"/>
          <w:sz w:val="18"/>
          <w:szCs w:val="18"/>
          <w:color w:val="auto"/>
        </w:rPr>
      </w:pPr>
    </w:p>
    <w:p>
      <w:pPr>
        <w:ind w:left="-100" w:firstLine="656"/>
        <w:spacing w:after="0" w:line="293" w:lineRule="auto"/>
        <w:tabs>
          <w:tab w:leader="none" w:pos="1253" w:val="left"/>
        </w:tabs>
        <w:numPr>
          <w:ilvl w:val="0"/>
          <w:numId w:val="33"/>
        </w:numPr>
        <w:rPr>
          <w:rFonts w:ascii="Arial" w:cs="Arial" w:eastAsia="Arial" w:hAnsi="Arial"/>
          <w:sz w:val="16"/>
          <w:szCs w:val="16"/>
          <w:color w:val="auto"/>
        </w:rPr>
      </w:pPr>
      <w:r>
        <w:rPr>
          <w:rFonts w:ascii="Arial" w:cs="Arial" w:eastAsia="Arial" w:hAnsi="Arial"/>
          <w:sz w:val="16"/>
          <w:szCs w:val="16"/>
          <w:color w:val="auto"/>
        </w:rPr>
        <w:t>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shareholders, and to deliver to you as soon as they are available, copies of any reports and financial statements furnished to or filed with the Commission or any national securities exchange on which any class of securities of the Company is listed; and (ii) such additional information concerning the Company as you may from time to time reasonably request; provided that it is not required to furnish such reports, communications (financial or other) or financial statements to the extent they are publicly available on the website of the Company or the Commission;</w:t>
      </w:r>
    </w:p>
    <w:p>
      <w:pPr>
        <w:spacing w:after="0" w:line="164" w:lineRule="exact"/>
        <w:rPr>
          <w:rFonts w:ascii="Arial" w:cs="Arial" w:eastAsia="Arial" w:hAnsi="Arial"/>
          <w:sz w:val="16"/>
          <w:szCs w:val="16"/>
          <w:color w:val="auto"/>
        </w:rPr>
      </w:pPr>
    </w:p>
    <w:p>
      <w:pPr>
        <w:ind w:left="-100" w:right="60" w:firstLine="656"/>
        <w:spacing w:after="0" w:line="301" w:lineRule="auto"/>
        <w:tabs>
          <w:tab w:leader="none" w:pos="1253"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use the net proceeds received by it from the sale of the ADSs pursuant to this Agreement in the manner specified in the Registration Statement, the Pricing Prospectus and the Prospectus under the caption “Use of Proceeds” and in compliance with any applicable laws, rules and regulations of any governmental body, agency or court having jurisdiction over the Company or its Controlled Entities and to file such reports with the Commission with respect to the sale of the ADSs and the application of the proceeds therefrom as may be required by Rule 463 under the Securities Act;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1532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420" w:top="341" w:right="419" w:bottom="1440" w:gutter="0" w:footer="0" w:header="0"/>
        </w:sectPr>
      </w:pPr>
    </w:p>
    <w:bookmarkStart w:id="37" w:name="page38"/>
    <w:bookmarkEnd w:id="37"/>
    <w:p>
      <w:pPr>
        <w:ind w:left="-40" w:right="140" w:firstLine="656"/>
        <w:spacing w:after="0" w:line="263" w:lineRule="auto"/>
        <w:tabs>
          <w:tab w:leader="none" w:pos="13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to (and to cause its Controlled Entities not to) take, directly or indirectly, any action which is designed to or which constitutes or which would reasonably be expected to cause or result in stabilization or manipulation of the price of any security of the Company to facilitate the sale or resale of the ADSs;</w:t>
      </w:r>
    </w:p>
    <w:p>
      <w:pPr>
        <w:spacing w:after="0" w:line="183" w:lineRule="exact"/>
        <w:rPr>
          <w:rFonts w:ascii="Arial" w:cs="Arial" w:eastAsia="Arial" w:hAnsi="Arial"/>
          <w:sz w:val="18"/>
          <w:szCs w:val="18"/>
          <w:color w:val="auto"/>
        </w:rPr>
      </w:pPr>
    </w:p>
    <w:p>
      <w:pPr>
        <w:ind w:left="-40" w:right="40" w:firstLine="656"/>
        <w:spacing w:after="0" w:line="259" w:lineRule="auto"/>
        <w:tabs>
          <w:tab w:leader="none" w:pos="13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Company elects to rely upon Rule 462(b), , the Company shall file the Rule 462(b) Registration Statement with the Commission pursuant to and in accordance with Rule 462(b) on or prior to 10:00 P.M., Washington, D.C. time, on the date of this Agreement or, if earlier, on or prior to the time the Final Prospectus is finalized and distributed to any Underwriter, or will make such filing at such later date as shall have been consented to by the Representatives.</w:t>
      </w:r>
    </w:p>
    <w:p>
      <w:pPr>
        <w:spacing w:after="0" w:line="182" w:lineRule="exact"/>
        <w:rPr>
          <w:rFonts w:ascii="Arial" w:cs="Arial" w:eastAsia="Arial" w:hAnsi="Arial"/>
          <w:sz w:val="18"/>
          <w:szCs w:val="18"/>
          <w:color w:val="auto"/>
        </w:rPr>
      </w:pPr>
    </w:p>
    <w:p>
      <w:pPr>
        <w:ind w:left="1320" w:hanging="704"/>
        <w:spacing w:after="0"/>
        <w:tabs>
          <w:tab w:leader="none" w:pos="1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use its best efforts to list for trading, subject to official notice of issuance, the ADSs on the Nasdaq Global Market (the “</w:t>
      </w:r>
      <w:r>
        <w:rPr>
          <w:rFonts w:ascii="Arial" w:cs="Arial" w:eastAsia="Arial" w:hAnsi="Arial"/>
          <w:sz w:val="16"/>
          <w:szCs w:val="16"/>
          <w:b w:val="1"/>
          <w:bCs w:val="1"/>
          <w:color w:val="auto"/>
        </w:rPr>
        <w:t>Exchange</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ind w:left="1320" w:hanging="70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6-K or Form 20-F as may be required by Rule 463 under the Act;</w:t>
      </w:r>
    </w:p>
    <w:p>
      <w:pPr>
        <w:spacing w:after="0" w:line="225" w:lineRule="exact"/>
        <w:rPr>
          <w:rFonts w:ascii="Arial" w:cs="Arial" w:eastAsia="Arial" w:hAnsi="Arial"/>
          <w:sz w:val="18"/>
          <w:szCs w:val="18"/>
          <w:color w:val="auto"/>
        </w:rPr>
      </w:pPr>
    </w:p>
    <w:p>
      <w:pPr>
        <w:ind w:left="-40" w:right="20" w:firstLine="656"/>
        <w:spacing w:after="0" w:line="259" w:lineRule="auto"/>
        <w:tabs>
          <w:tab w:leader="none" w:pos="13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ADSs (the “</w:t>
      </w:r>
      <w:r>
        <w:rPr>
          <w:rFonts w:ascii="Arial" w:cs="Arial" w:eastAsia="Arial" w:hAnsi="Arial"/>
          <w:sz w:val="18"/>
          <w:szCs w:val="18"/>
          <w:b w:val="1"/>
          <w:bCs w:val="1"/>
          <w:color w:val="auto"/>
        </w:rPr>
        <w:t>License</w:t>
      </w:r>
      <w:r>
        <w:rPr>
          <w:rFonts w:ascii="Arial" w:cs="Arial" w:eastAsia="Arial" w:hAnsi="Arial"/>
          <w:sz w:val="18"/>
          <w:szCs w:val="18"/>
          <w:color w:val="auto"/>
        </w:rPr>
        <w:t>”); provided, however, that the License shall be used solely for the purpose described above, is granted without any fee and may not be assigned or transferred;</w:t>
      </w:r>
    </w:p>
    <w:p>
      <w:pPr>
        <w:spacing w:after="0" w:line="186" w:lineRule="exact"/>
        <w:rPr>
          <w:rFonts w:ascii="Arial" w:cs="Arial" w:eastAsia="Arial" w:hAnsi="Arial"/>
          <w:sz w:val="18"/>
          <w:szCs w:val="18"/>
          <w:color w:val="auto"/>
        </w:rPr>
      </w:pPr>
    </w:p>
    <w:p>
      <w:pPr>
        <w:ind w:left="-40" w:firstLine="656"/>
        <w:spacing w:after="0" w:line="277" w:lineRule="auto"/>
        <w:tabs>
          <w:tab w:leader="none" w:pos="131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promptly notify you if the Company ceases to be an Emerging Growth Company at any time prior to the later of (i) completion of the distribution of the ADSs within the meaning of the Act and (ii) completion of the Lock-up Period; and</w:t>
      </w:r>
    </w:p>
    <w:p>
      <w:pPr>
        <w:spacing w:after="0" w:line="170" w:lineRule="exact"/>
        <w:rPr>
          <w:rFonts w:ascii="Arial" w:cs="Arial" w:eastAsia="Arial" w:hAnsi="Arial"/>
          <w:sz w:val="18"/>
          <w:szCs w:val="18"/>
          <w:color w:val="auto"/>
        </w:rPr>
      </w:pPr>
    </w:p>
    <w:p>
      <w:pPr>
        <w:ind w:left="-40" w:firstLine="656"/>
        <w:spacing w:after="0" w:line="288" w:lineRule="auto"/>
        <w:tabs>
          <w:tab w:leader="none" w:pos="131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indemnify and hold harmless the Underwriters against any stamp, transaction, issuance, capital, value-added, documentary, transfer tax or other similar taxes (except for any net income, capital gains or franchise taxes on the Underwriter’s fees as a result of any present or former connection with the jurisdiction imposing the tax (other than a connection arising solely as a result of this offering)), including any interest or penalties thereon, on the creation, issue, sale and delivery of the ADSs to and by the Underwriters and the execution and delivery of this Agreement and the Deposit Agreement. All payments to be made by the Company hereunder shall be made without withholding or deduction for or on account of any present or future taxes, duties or governmental charges whatsoever unless the Company is compelled by law to deduct or withhold such taxes, duties or charges. In that event, and except for any net income, capital gains or franchise taxes imposed on the Underwriters by a taxing jurisdiction as a result of any present or former connection (other than any connection resulting solely from the transactions contemplated by this Agreement) between the Underwriters and the jurisdiction imposing such withholding or deductions, the Company shall pay such additional amounts as may be necessary in order that the net amounts received after such withholding or deduction shall equal the amounts that would have been received if no withholding or deduction had been made.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1532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60" w:top="341" w:right="379" w:bottom="1440" w:gutter="0" w:footer="0" w:header="0"/>
        </w:sectPr>
      </w:pPr>
    </w:p>
    <w:bookmarkStart w:id="38" w:name="page39"/>
    <w:bookmarkEnd w:id="38"/>
    <w:p>
      <w:pPr>
        <w:ind w:left="-60" w:firstLine="656"/>
        <w:spacing w:after="0" w:line="257" w:lineRule="auto"/>
        <w:tabs>
          <w:tab w:leader="none" w:pos="13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The Company represents and agrees that, without the prior consent of the Representatives, it has not made and will not make any offer relating to the ADSs that would constitute a “free writing prospectus” as defined in Rule 405 under the Act; and each Underwriter represents and agrees that, without the prior consent of the Company and the Representatives, it has not made and will not make any offer relating to the ADSs that would constitute a free writing prospectus required to be filed with the Commission; any such free writing prospectus the use of which has been consented to by the Company and the Representatives is listed on Schedule III(a) hereto;</w:t>
      </w:r>
    </w:p>
    <w:p>
      <w:pPr>
        <w:spacing w:after="0" w:line="188" w:lineRule="exact"/>
        <w:rPr>
          <w:sz w:val="20"/>
          <w:szCs w:val="20"/>
          <w:color w:val="auto"/>
        </w:rPr>
      </w:pPr>
    </w:p>
    <w:p>
      <w:pPr>
        <w:ind w:left="-60" w:right="200" w:firstLine="656"/>
        <w:spacing w:after="0" w:line="311" w:lineRule="auto"/>
        <w:tabs>
          <w:tab w:leader="none" w:pos="129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roadshow</w:t>
      </w:r>
      <w:r>
        <w:rPr>
          <w:rFonts w:ascii="Arial" w:cs="Arial" w:eastAsia="Arial" w:hAnsi="Arial"/>
          <w:sz w:val="16"/>
          <w:szCs w:val="16"/>
          <w:b w:val="1"/>
          <w:bCs w:val="1"/>
          <w:color w:val="auto"/>
        </w:rPr>
        <w:t>;</w:t>
      </w:r>
    </w:p>
    <w:p>
      <w:pPr>
        <w:spacing w:after="0" w:line="148" w:lineRule="exact"/>
        <w:rPr>
          <w:rFonts w:ascii="Arial" w:cs="Arial" w:eastAsia="Arial" w:hAnsi="Arial"/>
          <w:sz w:val="16"/>
          <w:szCs w:val="16"/>
          <w:color w:val="auto"/>
        </w:rPr>
      </w:pPr>
    </w:p>
    <w:p>
      <w:pPr>
        <w:ind w:left="-60" w:right="80" w:firstLine="656"/>
        <w:spacing w:after="0" w:line="254" w:lineRule="auto"/>
        <w:tabs>
          <w:tab w:leader="none" w:pos="128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w:t>
      </w:r>
    </w:p>
    <w:p>
      <w:pPr>
        <w:spacing w:after="0" w:line="194" w:lineRule="exact"/>
        <w:rPr>
          <w:rFonts w:ascii="Arial" w:cs="Arial" w:eastAsia="Arial" w:hAnsi="Arial"/>
          <w:sz w:val="18"/>
          <w:szCs w:val="18"/>
          <w:color w:val="auto"/>
        </w:rPr>
      </w:pPr>
    </w:p>
    <w:p>
      <w:pPr>
        <w:ind w:left="-60" w:right="100" w:firstLine="656"/>
        <w:spacing w:after="0" w:line="293" w:lineRule="auto"/>
        <w:tabs>
          <w:tab w:leader="none" w:pos="129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 other than those distributed with the prior consent of the Representatives that are listed on Schedule III(d) hereto; and the Company reconfirms that the Underwriters have been authorized to act on its behalf in engaging in Testing-the-Waters Communications;</w:t>
      </w:r>
    </w:p>
    <w:p>
      <w:pPr>
        <w:spacing w:after="0" w:line="164" w:lineRule="exact"/>
        <w:rPr>
          <w:rFonts w:ascii="Arial" w:cs="Arial" w:eastAsia="Arial" w:hAnsi="Arial"/>
          <w:sz w:val="16"/>
          <w:szCs w:val="16"/>
          <w:color w:val="auto"/>
        </w:rPr>
      </w:pPr>
    </w:p>
    <w:p>
      <w:pPr>
        <w:ind w:left="-60" w:right="340" w:firstLine="656"/>
        <w:spacing w:after="0" w:line="263" w:lineRule="auto"/>
        <w:tabs>
          <w:tab w:leader="none" w:pos="1283"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80" w:top="341" w:right="399" w:bottom="1440" w:gutter="0" w:footer="0" w:header="0"/>
        </w:sectPr>
      </w:pPr>
    </w:p>
    <w:bookmarkStart w:id="39" w:name="page40"/>
    <w:bookmarkEnd w:id="39"/>
    <w:p>
      <w:pPr>
        <w:ind w:left="-8" w:right="60" w:firstLine="656"/>
        <w:spacing w:after="0" w:line="284" w:lineRule="auto"/>
        <w:tabs>
          <w:tab w:leader="none" w:pos="13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Company covenants and agrees with one another and with the several Underwriters that (a) the Company will pay or cause to be paid the following: (i) the fees, disbursements and expenses of the Company’s counsel and accountants in connection with the registration and delivery of the ADSs and Ordinary Shares represented thereby under the Act and all other fees or expenses in connection with the preparation, printing, reproduction and filing of the Registration Statement, any Preliminary Prospectus, the Pricing Prospectus, any Written Testing-the-Waters Communication, any Issuer Free Writing Prospectus and the Prospectus and amendments and supplements thereto and the mailing and delivering of copies thereof to the Underwriters and dealers; (ii) all costs and expenses related to the transfer and delivery of the ADSs to the Underwriters, including any transfer or other taxes payable thereon; (iii) the cost of printing or producing any agreement among Underwriters, this Agreement, the Blue Sky Memorandum, the Deposit Agreement, closing documents (including any compilations thereof) and any other documents in connection with the offering, purchase, sale and delivery of the ADSs;</w:t>
      </w:r>
    </w:p>
    <w:p>
      <w:pPr>
        <w:ind w:left="-8" w:firstLine="8"/>
        <w:spacing w:after="0" w:line="266" w:lineRule="auto"/>
        <w:tabs>
          <w:tab w:leader="none" w:pos="297" w:val="left"/>
        </w:tabs>
        <w:numPr>
          <w:ilvl w:val="0"/>
          <w:numId w:val="38"/>
        </w:numPr>
        <w:rPr>
          <w:rFonts w:ascii="Arial" w:cs="Arial" w:eastAsia="Arial" w:hAnsi="Arial"/>
          <w:sz w:val="17"/>
          <w:szCs w:val="17"/>
          <w:color w:val="auto"/>
        </w:rPr>
      </w:pPr>
      <w:r>
        <w:rPr>
          <w:rFonts w:ascii="Arial" w:cs="Arial" w:eastAsia="Arial" w:hAnsi="Arial"/>
          <w:sz w:val="17"/>
          <w:szCs w:val="17"/>
          <w:color w:val="auto"/>
        </w:rPr>
        <w:t>all expenses in connection with the qualification of the ADSs for offering and sale under state securities laws as provided in Section 5(A)(b) hereof, including the fees and disbursements of counsel for the Underwriters in connection with such qualification and in connection with the Blue Sky survey; (v) all fees and expenses in connection with the preparation and filing of the Form 8-A Registration Statement relating to the Class A ordinary shares, par value US$0.0001 per share, of the Company and all fees and expenses in connection with listing the ADSs on the Exchange; and (vi) the filing fees incident to[, and the fees and disbursements of counsel for the Underwriters in connection with,] any required review by the FINRA of the terms of the sale of the ADSs; [(b) the Company will pay or cause to be paid: (i) the cost of preparing share certificates; if applicable (ii) the cost and charges of any transfer agent, registrar or depositary; (iii) the costs and expenses of the Company and the costs and expenses of the Underwriters relating to investor presentations on any Testing-the-Waters Communications or any “road show” undertaken in connection with the marketing of the offering of the ADSs, including, without limitation, expenses associated with the preparation or dissemination of any electronic roadshow, expenses associated with the production of roadshow slides and graphics, fees and expenses of any consultants engaged in connection with the roadshow presentations with the prior approval of the Company, travel and lodging expenses of the representatives and officers of the Company, the representatives of the Underwriters and any such consultants, the cost of any vehicle or aircraft chartered in connection with the testing-the-waters and the roadshow, and the expenses associated with hosting investor meetings or luncheons;] and (v)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share transfer taxes on resale of any of the ADSs by them, and any advertising expenses connected with any offers they may make.</w:t>
      </w:r>
    </w:p>
    <w:p>
      <w:pPr>
        <w:spacing w:after="0" w:line="191" w:lineRule="exact"/>
        <w:rPr>
          <w:rFonts w:ascii="Arial" w:cs="Arial" w:eastAsia="Arial" w:hAnsi="Arial"/>
          <w:sz w:val="17"/>
          <w:szCs w:val="17"/>
          <w:color w:val="auto"/>
        </w:rPr>
      </w:pPr>
    </w:p>
    <w:p>
      <w:pPr>
        <w:ind w:left="-8" w:right="160" w:firstLine="656"/>
        <w:spacing w:after="0" w:line="259" w:lineRule="auto"/>
        <w:tabs>
          <w:tab w:leader="none" w:pos="1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ADSs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87" w:lineRule="exact"/>
        <w:rPr>
          <w:sz w:val="20"/>
          <w:szCs w:val="20"/>
          <w:color w:val="auto"/>
        </w:rPr>
      </w:pPr>
    </w:p>
    <w:p>
      <w:pPr>
        <w:ind w:left="-8" w:right="60" w:firstLine="656"/>
        <w:spacing w:after="0" w:line="289" w:lineRule="auto"/>
        <w:tabs>
          <w:tab w:leader="none" w:pos="1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Prospectus shall have been filed with the Commission pursuant to Rule 424(b) under the Act within the applicable time period prescribed for such filing by the rules and regulations under the Act and in accordance with Section 5(A)(a)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the ADS Registration Statement, any Rule 462(b) Registration Statement, or any post-effective amendment to the Registration Statement, shall have been issued and no proceeding for that purpose shall have been initiated or threatened by the Commission; no stop order suspending or preventing the use of the Registration Statement, the Pricing Prospectus,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40" w:name="page41"/>
    <w:bookmarkEnd w:id="40"/>
    <w:p>
      <w:pPr>
        <w:ind w:right="360" w:firstLine="1304"/>
        <w:spacing w:after="0" w:line="311" w:lineRule="auto"/>
        <w:tabs>
          <w:tab w:leader="none" w:pos="2001" w:val="left"/>
        </w:tabs>
        <w:numPr>
          <w:ilvl w:val="1"/>
          <w:numId w:val="40"/>
        </w:numPr>
        <w:rPr>
          <w:rFonts w:ascii="Arial" w:cs="Arial" w:eastAsia="Arial" w:hAnsi="Arial"/>
          <w:sz w:val="16"/>
          <w:szCs w:val="16"/>
          <w:color w:val="auto"/>
        </w:rPr>
      </w:pPr>
      <w:r>
        <w:rPr>
          <w:rFonts w:ascii="Arial" w:cs="Arial" w:eastAsia="Arial" w:hAnsi="Arial"/>
          <w:sz w:val="16"/>
          <w:szCs w:val="16"/>
          <w:color w:val="auto"/>
        </w:rPr>
        <w:t>Kirkland &amp; Ellis International LLP, U.S. counsel for the Underwriters, shall have furnished to you such written opinion or opinions, dated such Time of Delivery, in form and substance satisfactory to you, with respect to such matters as you may reasonably request, and such counsel shall have received such papers and information as they may reasonably request to enable them to pass upon such matters;</w:t>
      </w:r>
    </w:p>
    <w:p>
      <w:pPr>
        <w:spacing w:after="0" w:line="148" w:lineRule="exact"/>
        <w:rPr>
          <w:rFonts w:ascii="Arial" w:cs="Arial" w:eastAsia="Arial" w:hAnsi="Arial"/>
          <w:sz w:val="16"/>
          <w:szCs w:val="16"/>
          <w:color w:val="auto"/>
        </w:rPr>
      </w:pPr>
    </w:p>
    <w:p>
      <w:pPr>
        <w:ind w:right="500" w:firstLine="656"/>
        <w:spacing w:after="0" w:line="277" w:lineRule="auto"/>
        <w:tabs>
          <w:tab w:leader="none" w:pos="13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Skadden, Arps, Slate, Meagher &amp; Flom LLP, U.S. counsel for the Company, shall have furnished to you their written opinions and negative assurance letter, dated such Time of Delivery, in form and substance satisfactory to you;</w:t>
      </w:r>
    </w:p>
    <w:p>
      <w:pPr>
        <w:spacing w:after="0" w:line="170" w:lineRule="exact"/>
        <w:rPr>
          <w:rFonts w:ascii="Arial" w:cs="Arial" w:eastAsia="Arial" w:hAnsi="Arial"/>
          <w:sz w:val="18"/>
          <w:szCs w:val="18"/>
          <w:color w:val="auto"/>
        </w:rPr>
      </w:pPr>
    </w:p>
    <w:p>
      <w:pPr>
        <w:ind w:right="240" w:firstLine="656"/>
        <w:spacing w:after="0" w:line="277" w:lineRule="auto"/>
        <w:tabs>
          <w:tab w:leader="none" w:pos="13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Skadden, Arps, Slate, Meagher &amp; Flom LLP , Hong Kong counsel for the Company, shall have furnished to you their written opinion, dated such Time of Delivery, in form and substance satisfactory to you.</w:t>
      </w:r>
    </w:p>
    <w:p>
      <w:pPr>
        <w:spacing w:after="0" w:line="170" w:lineRule="exact"/>
        <w:rPr>
          <w:rFonts w:ascii="Arial" w:cs="Arial" w:eastAsia="Arial" w:hAnsi="Arial"/>
          <w:sz w:val="18"/>
          <w:szCs w:val="18"/>
          <w:color w:val="auto"/>
        </w:rPr>
      </w:pPr>
    </w:p>
    <w:p>
      <w:pPr>
        <w:ind w:right="100" w:firstLine="656"/>
        <w:spacing w:after="0" w:line="277" w:lineRule="auto"/>
        <w:tabs>
          <w:tab w:leader="none" w:pos="13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Han Kun Law Offices, PRC counsel for the Company, shall have furnished to you their written opinion, dated such Time of Delivery, in form and substance satisfactory to you;</w:t>
      </w:r>
    </w:p>
    <w:p>
      <w:pPr>
        <w:spacing w:after="0" w:line="170" w:lineRule="exact"/>
        <w:rPr>
          <w:rFonts w:ascii="Arial" w:cs="Arial" w:eastAsia="Arial" w:hAnsi="Arial"/>
          <w:sz w:val="18"/>
          <w:szCs w:val="18"/>
          <w:color w:val="auto"/>
        </w:rPr>
      </w:pPr>
    </w:p>
    <w:p>
      <w:pPr>
        <w:ind w:right="500" w:firstLine="656"/>
        <w:spacing w:after="0" w:line="277" w:lineRule="auto"/>
        <w:tabs>
          <w:tab w:leader="none" w:pos="13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King &amp; Wood Mallesons, PRC counsel for the Underwriters, shall have furnished to you their written opinion, dated such Time of Delivery, in form and substance satisfactory to you;</w:t>
      </w:r>
    </w:p>
    <w:p>
      <w:pPr>
        <w:spacing w:after="0" w:line="170" w:lineRule="exact"/>
        <w:rPr>
          <w:rFonts w:ascii="Arial" w:cs="Arial" w:eastAsia="Arial" w:hAnsi="Arial"/>
          <w:sz w:val="18"/>
          <w:szCs w:val="18"/>
          <w:color w:val="auto"/>
        </w:rPr>
      </w:pPr>
    </w:p>
    <w:p>
      <w:pPr>
        <w:ind w:right="40" w:firstLine="656"/>
        <w:spacing w:after="0" w:line="277" w:lineRule="auto"/>
        <w:tabs>
          <w:tab w:leader="none" w:pos="13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Maples and Calder (Hong Kong) LLP, Cayman Islands counsel for the Company, shall have furnished to you their written opinion, dated such Time of Delivery, in form and substance satisfactory to you;</w:t>
      </w:r>
    </w:p>
    <w:p>
      <w:pPr>
        <w:spacing w:after="0" w:line="170" w:lineRule="exact"/>
        <w:rPr>
          <w:rFonts w:ascii="Arial" w:cs="Arial" w:eastAsia="Arial" w:hAnsi="Arial"/>
          <w:sz w:val="18"/>
          <w:szCs w:val="18"/>
          <w:color w:val="auto"/>
        </w:rPr>
      </w:pPr>
    </w:p>
    <w:p>
      <w:pPr>
        <w:ind w:right="200" w:firstLine="656"/>
        <w:spacing w:after="0" w:line="277" w:lineRule="auto"/>
        <w:tabs>
          <w:tab w:leader="none" w:pos="13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White &amp; Case LLP, counsel for the Depository, shall have furnished to you their written opinion, dated such Time of Delivery, in form and substance satisfactory to you;</w:t>
      </w:r>
    </w:p>
    <w:p>
      <w:pPr>
        <w:spacing w:after="0" w:line="170" w:lineRule="exact"/>
        <w:rPr>
          <w:sz w:val="20"/>
          <w:szCs w:val="20"/>
          <w:color w:val="auto"/>
        </w:rPr>
      </w:pPr>
    </w:p>
    <w:p>
      <w:pPr>
        <w:ind w:right="20" w:firstLine="656"/>
        <w:spacing w:after="0" w:line="293" w:lineRule="auto"/>
        <w:tabs>
          <w:tab w:leader="none" w:pos="1358" w:val="left"/>
        </w:tabs>
        <w:numPr>
          <w:ilvl w:val="1"/>
          <w:numId w:val="42"/>
        </w:numPr>
        <w:rPr>
          <w:rFonts w:ascii="Arial" w:cs="Arial" w:eastAsia="Arial" w:hAnsi="Arial"/>
          <w:sz w:val="16"/>
          <w:szCs w:val="16"/>
          <w:color w:val="auto"/>
        </w:rPr>
      </w:pPr>
      <w:r>
        <w:rPr>
          <w:rFonts w:ascii="Arial" w:cs="Arial" w:eastAsia="Arial" w:hAnsi="Arial"/>
          <w:sz w:val="16"/>
          <w:szCs w:val="16"/>
          <w:color w:val="auto"/>
        </w:rPr>
        <w:t>On the date of the Prospectus at a time prior to the execution of this Agreement, on the effective date of any post-effective amendment to the Registration Statement filed subsequent to the date of this Agreement and also at each Time of Delivery, PricewaterhouseCoopers Zhong Tian LLP shall have furnished to you a comfort letter or letters, dated the respective dates of delivery thereof, in form and substance satisfactory to you, containing statements and information of the type ordinarily included in accountants’ “comfort letters” to underwriters with respect to the financial statements and certain financial information contained in the Registration Statement, the Pricing Prospectus and the Prospectus; provided that the letter delivered on each Time of Delivery shall use a “cut-off date” not earlier than three business days prior to such Time of Delivery;</w:t>
      </w:r>
    </w:p>
    <w:p>
      <w:pPr>
        <w:spacing w:after="0" w:line="164" w:lineRule="exact"/>
        <w:rPr>
          <w:rFonts w:ascii="Arial" w:cs="Arial" w:eastAsia="Arial" w:hAnsi="Arial"/>
          <w:sz w:val="16"/>
          <w:szCs w:val="16"/>
          <w:color w:val="auto"/>
        </w:rPr>
      </w:pPr>
    </w:p>
    <w:p>
      <w:pPr>
        <w:ind w:firstLine="8"/>
        <w:spacing w:after="0" w:line="268" w:lineRule="auto"/>
        <w:tabs>
          <w:tab w:leader="none" w:pos="705"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Neither the Company nor any of the Controlled Entities shall have sustained since the date of the latest audited financial statements included in the Registration Statement, the Pricing Prospectus and the Prospectus any loss or interference with its business from fire, explosion, flood or other calamity, whether or not covered by insurance, or from any labor dispute or court or governmental action, order or decree, otherwise than as set forth or contemplated in the Registration Statement, the Pricing Prospectus and the Prospectus, and (ii) since the respective dates as of which information is given in the Registration Statement, the Pricing Prospectus and the Prospectus there shall not have been any change in the issued shares or long-term debt of the Company or any of the Controlled Entities or any change or effect, or any development involving a prospective change or effect, in or affecting (x) the business, properties, general affairs, management, financial position, shareholders’ equity or results of operations of the Company and the Controlled Entities, taken as a whole, except as set forth or contemplated in the Registration Statement, the Pricing Prospectus and the Prospectus, or (y) the ability of the Company to perform its obligations under this Agreement and the Deposit Agreement, including the issuance and sale of the ADSs, or to consummate the transactions contemplated in the Registration Statement, the Pricing Prospectus and the Prospectus, the effect of which, in any such case described in clause (i) or (ii), is in your judgment so material and adverse as to make it impracticable or inadvisable to proceed with the public offering or the delivery of the ADSs being delivered at such Time of Delivery on the terms and in the manner contemplated in the Registration Statement, the Pricing Prospectus and the Prospectus;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left="-20" w:right="100" w:firstLine="656"/>
        <w:spacing w:after="0" w:line="290" w:lineRule="auto"/>
        <w:tabs>
          <w:tab w:leader="none" w:pos="1338"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New York State or the PRC authorities or a material disruption in commercial banking or securities settlement or clearance services in the United States; (iv) the outbreak or escalation of hostilities involving the United States or the PRC or the declaration by the United States or the PRC of a national emergency or war or (v) the occurrence of any other calamity or crisis or any change in financial, political or economic conditions in the United States, the PRC or the Cayman Islands or elsewhere, if the effect of any such event specified in clause (iv) or (v) in your judgment makes it impracticable or inadvisable to proceed with the public offering or the delivery of the ADSs being delivered at such Time of Delivery on the terms and in the manner contemplated in the Registration Statement, the Pricing Prospectus and the Prospectus;</w:t>
      </w:r>
    </w:p>
    <w:p>
      <w:pPr>
        <w:spacing w:after="0" w:line="165" w:lineRule="exact"/>
        <w:rPr>
          <w:rFonts w:ascii="Arial" w:cs="Arial" w:eastAsia="Arial" w:hAnsi="Arial"/>
          <w:sz w:val="16"/>
          <w:szCs w:val="16"/>
          <w:color w:val="auto"/>
        </w:rPr>
      </w:pPr>
    </w:p>
    <w:p>
      <w:pPr>
        <w:ind w:left="1340" w:hanging="704"/>
        <w:spacing w:after="0"/>
        <w:tabs>
          <w:tab w:leader="none" w:pos="1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ADSs to be sold at such Time of Delivery shall have been duly listed, subject to official notice of issuance, on the Exchange;</w:t>
      </w:r>
    </w:p>
    <w:p>
      <w:pPr>
        <w:spacing w:after="0" w:line="236" w:lineRule="exact"/>
        <w:rPr>
          <w:rFonts w:ascii="Arial" w:cs="Arial" w:eastAsia="Arial" w:hAnsi="Arial"/>
          <w:sz w:val="17"/>
          <w:szCs w:val="17"/>
          <w:color w:val="auto"/>
        </w:rPr>
      </w:pPr>
    </w:p>
    <w:p>
      <w:pPr>
        <w:jc w:val="both"/>
        <w:ind w:left="-20" w:right="60" w:firstLine="656"/>
        <w:spacing w:after="0" w:line="263" w:lineRule="auto"/>
        <w:tabs>
          <w:tab w:leader="none" w:pos="133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Representatives lock-up letters from each of the directors, executive officers and all of the Company’s existing shareholders of the Company listed on Schedule IV hereto, substantially to the effect set forth in Annex B hereto in form and substance satisfactory to you;</w:t>
      </w:r>
    </w:p>
    <w:p>
      <w:pPr>
        <w:spacing w:after="0" w:line="183" w:lineRule="exact"/>
        <w:rPr>
          <w:rFonts w:ascii="Arial" w:cs="Arial" w:eastAsia="Arial" w:hAnsi="Arial"/>
          <w:sz w:val="18"/>
          <w:szCs w:val="18"/>
          <w:color w:val="auto"/>
        </w:rPr>
      </w:pPr>
    </w:p>
    <w:p>
      <w:pPr>
        <w:ind w:left="-20" w:right="280" w:firstLine="656"/>
        <w:spacing w:after="0" w:line="277" w:lineRule="auto"/>
        <w:tabs>
          <w:tab w:leader="none" w:pos="133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5(A)(c) hereof with respect to the furnishing of prospectuses on the second New York Business Day next succeeding the date of this Agreement;</w:t>
      </w:r>
    </w:p>
    <w:p>
      <w:pPr>
        <w:spacing w:after="0" w:line="170" w:lineRule="exact"/>
        <w:rPr>
          <w:rFonts w:ascii="Arial" w:cs="Arial" w:eastAsia="Arial" w:hAnsi="Arial"/>
          <w:sz w:val="18"/>
          <w:szCs w:val="18"/>
          <w:color w:val="auto"/>
        </w:rPr>
      </w:pPr>
    </w:p>
    <w:p>
      <w:pPr>
        <w:ind w:left="-20" w:firstLine="656"/>
        <w:spacing w:after="0" w:line="259" w:lineRule="auto"/>
        <w:tabs>
          <w:tab w:leader="none" w:pos="133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and the Company shall have furnished or caused to be furnished certificates as to the matters set forth in subsections (a) and (l) of this Section 8;</w:t>
      </w:r>
    </w:p>
    <w:p>
      <w:pPr>
        <w:spacing w:after="0" w:line="186" w:lineRule="exact"/>
        <w:rPr>
          <w:rFonts w:ascii="Arial" w:cs="Arial" w:eastAsia="Arial" w:hAnsi="Arial"/>
          <w:sz w:val="18"/>
          <w:szCs w:val="18"/>
          <w:color w:val="auto"/>
        </w:rPr>
      </w:pPr>
    </w:p>
    <w:p>
      <w:pPr>
        <w:ind w:left="-20" w:right="140" w:firstLine="656"/>
        <w:spacing w:after="0" w:line="257" w:lineRule="auto"/>
        <w:tabs>
          <w:tab w:leader="none" w:pos="1333"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and at each Time of Delivery, as the case may be, the Chief Financial Officer of the Company shall have furnished to the Representatives an officer’s certificate, dated the date of delivery thereof, in form and substance satisfactory to the Representatives to the effect that certain operating data and financial figures contained in the Registration Statement, the Pricing Prospectus and the Prospectus, have been derived from and verified against the Company’s accounting and business records, and he has no reason to believe that such data is not true and accurate set forth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42" w:name="page43"/>
    <w:bookmarkEnd w:id="42"/>
    <w:p>
      <w:pPr>
        <w:ind w:left="-20" w:right="180" w:firstLine="656"/>
        <w:spacing w:after="0" w:line="311" w:lineRule="auto"/>
        <w:tabs>
          <w:tab w:leader="none" w:pos="13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and the Depositary shall have executed and delivered to the Representatives the Deposit Agreement, and the Deposit Agreement shall be in full force and effect on the Time of Delivery. The Company and the Depositary shall have taken all actions necessary to permit the deposit of the Ordinary Shares and the issuance of the ADSs representing such Ordinary Shares in accordance with the Deposit Agreement;</w:t>
      </w:r>
    </w:p>
    <w:p>
      <w:pPr>
        <w:spacing w:after="0" w:line="144" w:lineRule="exact"/>
        <w:rPr>
          <w:rFonts w:ascii="Arial" w:cs="Arial" w:eastAsia="Arial" w:hAnsi="Arial"/>
          <w:sz w:val="16"/>
          <w:szCs w:val="16"/>
          <w:color w:val="auto"/>
        </w:rPr>
      </w:pPr>
    </w:p>
    <w:p>
      <w:pPr>
        <w:ind w:left="-20" w:right="260" w:firstLine="656"/>
        <w:spacing w:after="0" w:line="277" w:lineRule="auto"/>
        <w:tabs>
          <w:tab w:leader="none" w:pos="135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Company shall have entered into a side letter agreement with the Depositary (the “</w:t>
      </w:r>
      <w:r>
        <w:rPr>
          <w:rFonts w:ascii="Arial" w:cs="Arial" w:eastAsia="Arial" w:hAnsi="Arial"/>
          <w:sz w:val="17"/>
          <w:szCs w:val="17"/>
          <w:b w:val="1"/>
          <w:bCs w:val="1"/>
          <w:color w:val="auto"/>
        </w:rPr>
        <w:t>Depositary Side Letter</w:t>
      </w:r>
      <w:r>
        <w:rPr>
          <w:rFonts w:ascii="Arial" w:cs="Arial" w:eastAsia="Arial" w:hAnsi="Arial"/>
          <w:sz w:val="17"/>
          <w:szCs w:val="17"/>
          <w:color w:val="auto"/>
        </w:rPr>
        <w:t>”), instructing the Depositary, for a period of 180 days after the date of the Prospectus, not to accept any deposit of any Ordinary Shares in the Company’s ADR facility or issue any new ADRs evidencing the ADSs to any shareholder or any third party, unless the Company has consented to such deposit. The Company covenants that it will not release the Depositary from the obligations set forth in, or otherwise amend, terminate, fail to enforce or provide any consent under, the Depositary Side Letter during the Lock-Up Period without the prior written consent of each of the Representatives;</w:t>
      </w:r>
    </w:p>
    <w:p>
      <w:pPr>
        <w:spacing w:after="0" w:line="171" w:lineRule="exact"/>
        <w:rPr>
          <w:rFonts w:ascii="Arial" w:cs="Arial" w:eastAsia="Arial" w:hAnsi="Arial"/>
          <w:sz w:val="17"/>
          <w:szCs w:val="17"/>
          <w:color w:val="auto"/>
        </w:rPr>
      </w:pPr>
    </w:p>
    <w:p>
      <w:pPr>
        <w:ind w:left="-20" w:right="40" w:firstLine="656"/>
        <w:spacing w:after="0" w:line="259" w:lineRule="auto"/>
        <w:tabs>
          <w:tab w:leader="none" w:pos="133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each Time of Delivery, the Representatives shall have received a certificate of the Depositary, in form and substance satisfactory to the Representatives, executed by one of its authorized officers with respect to the deposit with it of the ADSs against issuance of the ADSs to be delivered by the Company at such Time of Delivery, the execution, issuance, countersignature and delivery of the ADSs pursuant to the Deposit Agreement and such other matters related thereto as the Representatives may reasonably request;</w:t>
      </w:r>
    </w:p>
    <w:p>
      <w:pPr>
        <w:spacing w:after="0" w:line="187" w:lineRule="exact"/>
        <w:rPr>
          <w:sz w:val="20"/>
          <w:szCs w:val="20"/>
          <w:color w:val="auto"/>
        </w:rPr>
      </w:pPr>
    </w:p>
    <w:p>
      <w:pPr>
        <w:ind w:left="1340" w:hanging="704"/>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or prior to the Time of Delivery, the ADSs shall be eligible for clearance and settlement through the facilities of DTC;</w:t>
      </w:r>
    </w:p>
    <w:p>
      <w:pPr>
        <w:spacing w:after="0" w:line="225" w:lineRule="exact"/>
        <w:rPr>
          <w:rFonts w:ascii="Arial" w:cs="Arial" w:eastAsia="Arial" w:hAnsi="Arial"/>
          <w:sz w:val="18"/>
          <w:szCs w:val="18"/>
          <w:color w:val="auto"/>
        </w:rPr>
      </w:pPr>
    </w:p>
    <w:p>
      <w:pPr>
        <w:ind w:left="-20" w:right="60" w:firstLine="656"/>
        <w:spacing w:after="0" w:line="301" w:lineRule="auto"/>
        <w:tabs>
          <w:tab w:leader="none" w:pos="133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such Time of Delivery, the Representatives and counsel for the Underwriter shall have received such information, documents, certificates and opinions as they may reasonably require for the purposes of enabling them to pass upon the accuracy and completeness of any statement in the Registration Statement, the Pricing Prospectus and the Prospectus, issuance and sale of the Ordinary Shares or ADSs as contemplated herein, or in order to evidence the accuracy of any of the representations and warranties, or the satisfaction of any of the conditions or agreements, herein contained.</w:t>
      </w:r>
    </w:p>
    <w:p>
      <w:pPr>
        <w:spacing w:after="0" w:line="157" w:lineRule="exact"/>
        <w:rPr>
          <w:sz w:val="20"/>
          <w:szCs w:val="20"/>
          <w:color w:val="auto"/>
        </w:rPr>
      </w:pPr>
    </w:p>
    <w:p>
      <w:pPr>
        <w:ind w:left="-20" w:firstLine="656"/>
        <w:spacing w:after="0" w:line="285" w:lineRule="auto"/>
        <w:tabs>
          <w:tab w:leader="none" w:pos="1348"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each affiliate of any Underwriter within the meaning of Rule 405 under the Act, and such Underwriter’s and affiliates’ respective directors, officers and employees, and each person, if any, who controls any Underwriter within the meaning of either Section 15 of the Securities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or any amendment or supplement thereto, or arise out of or are based upon the omission or alleged omission to state therein a material fact required to be stated therein or necessary to make the statements therein not misleading, or an untrue statement or alleged untrue statement of a material fact contained in the Preliminary Prospectus, Pricing Prospectus or the Prospectus, or any amendment or supplement thereto, any Issuer Free Writing Prospectus, any “roadshow” as defined in Rule 433(h) under the Act (a “roadshow”), any “issuer information” filed or required to be filed pursuant to Rule 433(d) under the Act or any Written Testing-the-Waters Communication, or arise out of or are based upon the omission or alleged omission therefrom of a material fact required to be stated therein or necessary in order to make the statements therein, in the light of the circumstances under which they were made,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Written Testing-the-Waters Communication, in reliance upon and in conformity with the Underwriter Information (as defined in Section 9(b) of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43" w:name="page44"/>
    <w:bookmarkEnd w:id="43"/>
    <w:p>
      <w:pPr>
        <w:ind w:firstLine="656"/>
        <w:spacing w:after="0" w:line="285" w:lineRule="auto"/>
        <w:tabs>
          <w:tab w:leader="none" w:pos="1353"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or any amendment or supplement thereto, or arise out of or are based upon the omission or alleged omission to state therein a material fact required to be stated therein or necessary to make the statements therein not misleading, or an untrue statement or alleged untrue statement of a material fact contained in the Pricing Prospectus or the Prospectus any Issuer Free Writing Prospectus or any “issuer information” filed or required to be filed pursuant to Rule 433(d) or the omission or alleged omission therefrom of a material fact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Written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names and addresses of the Underwriters, the number of ADSs being sold by each Underwriter appearing in the first paragraph.</w:t>
      </w:r>
    </w:p>
    <w:p>
      <w:pPr>
        <w:spacing w:after="0" w:line="176" w:lineRule="exact"/>
        <w:rPr>
          <w:rFonts w:ascii="Arial" w:cs="Arial" w:eastAsia="Arial" w:hAnsi="Arial"/>
          <w:sz w:val="16"/>
          <w:szCs w:val="16"/>
          <w:color w:val="auto"/>
        </w:rPr>
      </w:pPr>
    </w:p>
    <w:p>
      <w:pPr>
        <w:ind w:firstLine="656"/>
        <w:spacing w:after="0" w:line="282" w:lineRule="auto"/>
        <w:tabs>
          <w:tab w:leader="none" w:pos="13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instituted involving any indemnified party and it shall notify the indemnifying party of the commencement thereof in writing and the indemnifying party, upon request of the indemnified party, shall retain counsel reasonably satisfactory to the indemnified party to represent the indemnified party and any others the indemnifying party may designate in such action and shall pay the fees and disbursements of such counsel related to such action. In any such action,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action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action or related action in the same jurisdiction, be liable for the fees and expenses of more than one separate firm (in addition to any local counsel) for all such indemnified parties and that all such fees and expenses shall be reimbursed as they are incurred. The indemnifying party shall not be liable for any settlement of any action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third and fourth sentences of this paragraph, the indemnifying party agrees that it shall be liable for any settlement of any proceeding effected without its written consent if (i) such settlement is entered into more than</w:t>
      </w:r>
    </w:p>
    <w:p>
      <w:pPr>
        <w:spacing w:after="0" w:line="10"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30 days after receipt by such indemnifying party of the aforesaid request and (ii) such indemnifying party shall not have reimbursed the indemnified party in accordance with such request prior to the date of such settlement.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left="-20" w:firstLine="656"/>
        <w:spacing w:after="0" w:line="284" w:lineRule="auto"/>
        <w:tabs>
          <w:tab w:leader="none" w:pos="1333"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ADSs.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ADSs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45" w:name="page46"/>
    <w:bookmarkEnd w:id="45"/>
    <w:p>
      <w:pPr>
        <w:ind w:right="80" w:firstLine="656"/>
        <w:spacing w:after="0" w:line="293" w:lineRule="auto"/>
        <w:tabs>
          <w:tab w:leader="none" w:pos="1343"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64" w:lineRule="exact"/>
        <w:rPr>
          <w:sz w:val="20"/>
          <w:szCs w:val="20"/>
          <w:color w:val="auto"/>
        </w:rPr>
      </w:pPr>
    </w:p>
    <w:p>
      <w:pPr>
        <w:ind w:firstLine="656"/>
        <w:spacing w:after="0" w:line="288" w:lineRule="auto"/>
        <w:tabs>
          <w:tab w:leader="none" w:pos="1323"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ADSs that it has agreed to purchase hereunder at a Time of Delivery, you may in your discretion arrange for you or another party or other parties to purchase such ADSs on the terms contained herein. If within thirty-six hours after such default by any Underwriter you do not arrange for the purchase of such ADSs, then the Company shall be entitled to a further period of thirty-six hours within which to procure another party or other parties satisfactory to you to purchase such ADSs on such terms. In the event that, within the respective prescribed periods, you notify the Company that you have so arranged for the purchase of such ADSs, or the Company notifies you that it has so arranged for the purchase of such ADSs,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right="180" w:firstLine="656"/>
        <w:spacing w:after="0" w:line="254" w:lineRule="auto"/>
        <w:tabs>
          <w:tab w:leader="none" w:pos="117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ADSs of a defaulting Underwriter or Underwriters by you and the Company as provided in subsection (a) above, the aggregate number of such ADSs which remains unpurchased does not exceed one-eleventh of the aggregate number of all the ADSs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94" w:lineRule="exact"/>
        <w:rPr>
          <w:rFonts w:ascii="Arial" w:cs="Arial" w:eastAsia="Arial" w:hAnsi="Arial"/>
          <w:sz w:val="18"/>
          <w:szCs w:val="18"/>
          <w:color w:val="auto"/>
        </w:rPr>
      </w:pPr>
    </w:p>
    <w:p>
      <w:pPr>
        <w:ind w:right="120" w:firstLine="656"/>
        <w:spacing w:after="0" w:line="254" w:lineRule="auto"/>
        <w:tabs>
          <w:tab w:leader="none" w:pos="116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ADSs of a defaulting Underwriter or Underwriters by you, the Company as provided in subsection (a) above, the aggregate number of such ADSs which remains unpurchased exceeds one-eleventh of the aggregate number of all of the ADSs to be purchased at such Time of Delivery, or if the Company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Company to sell the Optional ADSs shall thereupon terminate, without liability on the part of any non-defaulting Underwriter,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92" w:lineRule="exact"/>
        <w:rPr>
          <w:sz w:val="20"/>
          <w:szCs w:val="20"/>
          <w:color w:val="auto"/>
        </w:rPr>
      </w:pPr>
    </w:p>
    <w:p>
      <w:pPr>
        <w:jc w:val="both"/>
        <w:ind w:right="100" w:firstLine="656"/>
        <w:spacing w:after="0" w:line="301" w:lineRule="auto"/>
        <w:tabs>
          <w:tab w:leader="none" w:pos="131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ADSs.</w:t>
      </w:r>
    </w:p>
    <w:p>
      <w:pPr>
        <w:spacing w:after="0" w:line="157" w:lineRule="exact"/>
        <w:rPr>
          <w:rFonts w:ascii="Arial" w:cs="Arial" w:eastAsia="Arial" w:hAnsi="Arial"/>
          <w:sz w:val="16"/>
          <w:szCs w:val="16"/>
          <w:color w:val="auto"/>
        </w:rPr>
      </w:pPr>
    </w:p>
    <w:p>
      <w:pPr>
        <w:ind w:firstLine="656"/>
        <w:spacing w:after="0" w:line="293" w:lineRule="auto"/>
        <w:tabs>
          <w:tab w:leader="none" w:pos="1323"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this Agreement shall be terminated pursuant to Section 10 hereof, the Company shall not then be under any liability to any Underwriter except as provided in Sections 7 and 9 hereof; but, if for any other reason any ADSs are not delivered by or on behalf of the Company as provided herein, or the Underwriters decline to purchase the ADSs for any reason permitted under this Agreement, the Company will reimburse the Underwriters or such Underwriters as have so terminated this Agreement with respect to themselves, severally, through you for all out-of-pocket expenses approved in writing by you, including fees and disbursements of counsel, reasonably incurred by the Underwriters in making preparations for the purchase, sale and delivery of the ADSs not so delivered, but the Company shall then be under no further liability to any Underwriter except as provided in Sections 7 and 9 hereof.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firstLine="656"/>
        <w:spacing w:after="0" w:line="301" w:lineRule="auto"/>
        <w:tabs>
          <w:tab w:leader="none" w:pos="1323"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all dealings hereunder, the Representatives shall act on behalf of each of the Underwriters, and the parties hereto shall be entitled to act and rely upon any statement, request, notice or agreement on behalf of any Underwriter made or given by you jointly or by the Representatives; and in all dealings with any Selling Stockholder hereunder, you and the Company shall be entitled to act and rely upon any statement, request, notice or agreement on behalf of such Selling Stockholder made or given by any or all of the Attorneys-in-Fact for such Selling Stockholder.</w:t>
      </w:r>
    </w:p>
    <w:p>
      <w:pPr>
        <w:spacing w:after="0" w:line="15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All statements, requests, notices and agreements hereunder shall be in writing, and if to the Underwriters shall be delivered or sent by mail, confirmed email or facsimile transmission to Goldman Sachs (Asia) L.L.C., 68th Floor, Cheung Kong Center, 2 Queens Road Central, Hong Kong, Attention: General Counsel; Morgan Stanley &amp; Co. LLC, 1585 Broadway, New York, New York 10036, United States, Attention: General Counsel; UBS Securities LLC, 1285 Avenue of the Americas, New York, New York 10019, United States, Attention: General Counsel; and China International Capital Corporation Hong Kong Securities Limited, 29th Floor, One International Finance Centre, 1 Harbour View Street, Central, Hong Kong, Attention: General Counsel; if to the Company shall be delivered or sent by mail, confirmed email or facsimile transmission to the address of the Company set forth on the cover of the Registration Statement, Attention: [·]; provided, however, that any notice to an Underwriter pursuant to Section 9(c) hereof shall be delivered or sent by mail, confirmed email or facsimile transmission to such Underwriter at its address set forth in its Underwriters’ Questionnaire or confirmed email constituting such Questionnaire, which address will be supplied to the Company by you on request.</w:t>
      </w:r>
    </w:p>
    <w:p>
      <w:pPr>
        <w:spacing w:after="0" w:line="181" w:lineRule="exact"/>
        <w:rPr>
          <w:sz w:val="20"/>
          <w:szCs w:val="20"/>
          <w:color w:val="auto"/>
        </w:rPr>
      </w:pPr>
    </w:p>
    <w:p>
      <w:pPr>
        <w:ind w:right="200" w:firstLine="656"/>
        <w:spacing w:after="0" w:line="301" w:lineRule="auto"/>
        <w:tabs>
          <w:tab w:leader="none" w:pos="132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ADSs from any Underwriter shall be deemed a successor or assign by reason merely of such purchase.</w:t>
      </w:r>
    </w:p>
    <w:p>
      <w:pPr>
        <w:spacing w:after="0" w:line="157" w:lineRule="exact"/>
        <w:rPr>
          <w:rFonts w:ascii="Arial" w:cs="Arial" w:eastAsia="Arial" w:hAnsi="Arial"/>
          <w:sz w:val="16"/>
          <w:szCs w:val="16"/>
          <w:color w:val="auto"/>
        </w:rPr>
      </w:pPr>
    </w:p>
    <w:p>
      <w:pPr>
        <w:ind w:right="380" w:firstLine="656"/>
        <w:spacing w:after="0" w:line="277" w:lineRule="auto"/>
        <w:tabs>
          <w:tab w:leader="none" w:pos="132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right="40" w:firstLine="656"/>
        <w:spacing w:after="0" w:line="271" w:lineRule="auto"/>
        <w:tabs>
          <w:tab w:leader="none" w:pos="1323"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 acknowledge and agree that (i) the purchase and sale of the ADSs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781" w:gutter="0" w:footer="0" w:header="0"/>
        </w:sectPr>
      </w:pPr>
    </w:p>
    <w:bookmarkStart w:id="47" w:name="page48"/>
    <w:bookmarkEnd w:id="47"/>
    <w:p>
      <w:pPr>
        <w:ind w:left="-20" w:right="940" w:firstLine="656"/>
        <w:spacing w:after="0" w:line="277" w:lineRule="auto"/>
        <w:tabs>
          <w:tab w:leader="none" w:pos="130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70" w:lineRule="exact"/>
        <w:rPr>
          <w:rFonts w:ascii="Arial" w:cs="Arial" w:eastAsia="Arial" w:hAnsi="Arial"/>
          <w:sz w:val="18"/>
          <w:szCs w:val="18"/>
          <w:color w:val="auto"/>
        </w:rPr>
      </w:pPr>
    </w:p>
    <w:p>
      <w:pPr>
        <w:ind w:left="-20" w:firstLine="656"/>
        <w:spacing w:after="0" w:line="268" w:lineRule="auto"/>
        <w:tabs>
          <w:tab w:leader="none" w:pos="130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Each of the parties hereto irrevocably (i) agrees that any legal suit, action or proceeding against the Company brought by any Underwriter or by any person who controls any Underwriter arising out of or based upon this Agreement or the transactions contemplated hereby may be instituted in any New York Court, (ii) waives, to the fullest extent it may effectively do so, any objection which it may now or hereafter have to the laying of venue of any such proceeding and (iii) submits to the exclusive jurisdiction of such courts in any such suit, action or proceeding. The Company has appointed Cogency Global Inc. as its authorized agent (the “</w:t>
      </w:r>
      <w:r>
        <w:rPr>
          <w:rFonts w:ascii="Arial" w:cs="Arial" w:eastAsia="Arial" w:hAnsi="Arial"/>
          <w:sz w:val="17"/>
          <w:szCs w:val="17"/>
          <w:b w:val="1"/>
          <w:bCs w:val="1"/>
          <w:color w:val="auto"/>
        </w:rPr>
        <w:t>Authorized Agent</w:t>
      </w:r>
      <w:r>
        <w:rPr>
          <w:rFonts w:ascii="Arial" w:cs="Arial" w:eastAsia="Arial" w:hAnsi="Arial"/>
          <w:sz w:val="17"/>
          <w:szCs w:val="17"/>
          <w:color w:val="auto"/>
        </w:rPr>
        <w:t>”) upon whom process may be served in any such action arising out of or based on this Agreement or the transactions contemplated hereby which may be instituted in any New York Court by any Underwriter or by any person who controls any Underwriter, expressly consent to the jurisdiction of any such court in respect of any such action, and waive any other requirements of or objections to personal jurisdiction with respect thereto. Such appointment shall be irrevocable. The Company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Company shall be deemed, in every respect, effective service of process upon the Company, respectively.</w:t>
      </w:r>
    </w:p>
    <w:p>
      <w:pPr>
        <w:spacing w:after="0" w:line="184" w:lineRule="exact"/>
        <w:rPr>
          <w:rFonts w:ascii="Arial" w:cs="Arial" w:eastAsia="Arial" w:hAnsi="Arial"/>
          <w:sz w:val="17"/>
          <w:szCs w:val="17"/>
          <w:color w:val="auto"/>
        </w:rPr>
      </w:pPr>
    </w:p>
    <w:p>
      <w:pPr>
        <w:ind w:left="-20" w:right="20" w:firstLine="656"/>
        <w:spacing w:after="0" w:line="277" w:lineRule="auto"/>
        <w:tabs>
          <w:tab w:leader="none" w:pos="130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left="-20" w:right="40" w:firstLine="656"/>
        <w:spacing w:after="0" w:line="277" w:lineRule="auto"/>
        <w:tabs>
          <w:tab w:leader="none" w:pos="130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0" w:lineRule="exact"/>
        <w:rPr>
          <w:rFonts w:ascii="Arial" w:cs="Arial" w:eastAsia="Arial" w:hAnsi="Arial"/>
          <w:sz w:val="18"/>
          <w:szCs w:val="18"/>
          <w:color w:val="auto"/>
        </w:rPr>
      </w:pPr>
    </w:p>
    <w:p>
      <w:pPr>
        <w:ind w:left="-20" w:firstLine="656"/>
        <w:spacing w:after="0" w:line="296" w:lineRule="auto"/>
        <w:tabs>
          <w:tab w:leader="none" w:pos="1303"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are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48" w:name="page49"/>
    <w:bookmarkEnd w:id="48"/>
    <w:p>
      <w:pPr>
        <w:ind w:left="1340" w:hanging="684"/>
        <w:spacing w:after="0"/>
        <w:tabs>
          <w:tab w:leader="none" w:pos="1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Recognition of the U.S. Special Resolution Regimes.</w:t>
      </w:r>
    </w:p>
    <w:p>
      <w:pPr>
        <w:spacing w:after="0" w:line="225" w:lineRule="exact"/>
        <w:rPr>
          <w:sz w:val="20"/>
          <w:szCs w:val="20"/>
          <w:color w:val="auto"/>
        </w:rPr>
      </w:pPr>
    </w:p>
    <w:p>
      <w:pPr>
        <w:ind w:firstLine="656"/>
        <w:spacing w:after="0" w:line="259" w:lineRule="auto"/>
        <w:tabs>
          <w:tab w:leader="none" w:pos="134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160" w:firstLine="656"/>
        <w:spacing w:after="0" w:line="259" w:lineRule="auto"/>
        <w:tabs>
          <w:tab w:leader="none" w:pos="13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“BHC Act Affiliate” has the meaning assigned to the term “affiliate” in, and shall be interpreted in accordance with, 12 U.S.C. § 1841(k).</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“Covered Entity” means any of the following:</w:t>
      </w:r>
    </w:p>
    <w:p>
      <w:pPr>
        <w:spacing w:after="0" w:line="225" w:lineRule="exact"/>
        <w:rPr>
          <w:sz w:val="20"/>
          <w:szCs w:val="20"/>
          <w:color w:val="auto"/>
        </w:rPr>
      </w:pPr>
    </w:p>
    <w:p>
      <w:pPr>
        <w:ind w:left="1400" w:hanging="663"/>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1420" w:hanging="683"/>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1420" w:hanging="683"/>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0" w:lineRule="exact"/>
        <w:rPr>
          <w:sz w:val="20"/>
          <w:szCs w:val="20"/>
          <w:color w:val="auto"/>
        </w:rPr>
      </w:pPr>
    </w:p>
    <w:p>
      <w:pPr>
        <w:ind w:right="120" w:firstLine="656"/>
        <w:spacing w:after="0" w:line="291" w:lineRule="auto"/>
        <w:tabs>
          <w:tab w:leader="none" w:pos="132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obligation of the Company pursuant to this Agreement in respect of any sum due to any Underwriter shall, notwithstanding any judgment in a currency other than United States dollars, not be discharged until the first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 w:name="page50"/>
    <w:bookmarkEnd w:id="49"/>
    <w:p>
      <w:pPr>
        <w:ind w:firstLine="648"/>
        <w:spacing w:after="0" w:line="296" w:lineRule="auto"/>
        <w:rPr>
          <w:sz w:val="20"/>
          <w:szCs w:val="20"/>
          <w:color w:val="auto"/>
        </w:rPr>
      </w:pPr>
      <w:r>
        <w:rPr>
          <w:rFonts w:ascii="Arial" w:cs="Arial" w:eastAsia="Arial" w:hAnsi="Arial"/>
          <w:sz w:val="16"/>
          <w:szCs w:val="16"/>
          <w:color w:val="auto"/>
        </w:rPr>
        <w:t>If the foregoing is in accordance with your understanding, please sign and return to us one for the Company and each of the Representatives plus one for each counsel counterparts hereof, and upon the acceptance hereof by you, on behalf of each of the Underwriters, this letter and such acceptance hereof shall constitute a binding agreement among each of the Underwriters,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50" w:name="page51"/>
    <w:bookmarkEnd w:id="50"/>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Li Auto Inc.</w:t>
      </w:r>
    </w:p>
    <w:p>
      <w:pPr>
        <w:spacing w:after="0" w:line="200" w:lineRule="exact"/>
        <w:rPr>
          <w:sz w:val="20"/>
          <w:szCs w:val="20"/>
          <w:color w:val="auto"/>
        </w:rPr>
      </w:pPr>
    </w:p>
    <w:p>
      <w:pPr>
        <w:spacing w:after="0" w:line="24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14605</wp:posOffset>
            </wp:positionV>
            <wp:extent cx="32658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233045</wp:posOffset>
            </wp:positionV>
            <wp:extent cx="71532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ind w:right="4579"/>
        <w:spacing w:after="0" w:line="277" w:lineRule="auto"/>
        <w:rPr>
          <w:sz w:val="20"/>
          <w:szCs w:val="20"/>
          <w:color w:val="auto"/>
        </w:rPr>
      </w:pPr>
      <w:r>
        <w:rPr>
          <w:rFonts w:ascii="Arial" w:cs="Arial" w:eastAsia="Arial" w:hAnsi="Arial"/>
          <w:sz w:val="18"/>
          <w:szCs w:val="18"/>
          <w:color w:val="auto"/>
        </w:rPr>
        <w:t>Acting on behalf of itself and as a Representative of the several Underwriters named in Schedule I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(Asia)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(Incorporated in Delaware, U.S.A. with limited liability)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2658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2879"/>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ind w:right="4579"/>
        <w:spacing w:after="0" w:line="277" w:lineRule="auto"/>
        <w:rPr>
          <w:sz w:val="20"/>
          <w:szCs w:val="20"/>
          <w:color w:val="auto"/>
        </w:rPr>
      </w:pPr>
      <w:r>
        <w:rPr>
          <w:rFonts w:ascii="Arial" w:cs="Arial" w:eastAsia="Arial" w:hAnsi="Arial"/>
          <w:sz w:val="18"/>
          <w:szCs w:val="18"/>
          <w:color w:val="auto"/>
        </w:rPr>
        <w:t>Acting on behalf of itself and as a Representative of the several Underwriters named in Schedule I hereto</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&amp; Co.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2658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2879"/>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ind w:right="4579"/>
        <w:spacing w:after="0" w:line="277" w:lineRule="auto"/>
        <w:rPr>
          <w:sz w:val="20"/>
          <w:szCs w:val="20"/>
          <w:color w:val="auto"/>
        </w:rPr>
      </w:pPr>
      <w:r>
        <w:rPr>
          <w:rFonts w:ascii="Arial" w:cs="Arial" w:eastAsia="Arial" w:hAnsi="Arial"/>
          <w:sz w:val="18"/>
          <w:szCs w:val="18"/>
          <w:color w:val="auto"/>
        </w:rPr>
        <w:t>Acting on behalf of itself and as a Representative of the several Underwriters named in Schedule I hereto</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Securities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2658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2879"/>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itself and as a Representative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hereto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International Capital Corporation Hong Kong Securities Limited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2658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Optional ADSs to</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be Purchased if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Firm ADSs to be</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Maximum</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Purchased</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Option Exercised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(Asia) L.L.C.</w:t>
            </w:r>
          </w:p>
        </w:tc>
        <w:tc>
          <w:tcPr>
            <w:tcW w:w="1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3860" w:type="dxa"/>
            <w:vAlign w:val="bottom"/>
            <w:gridSpan w:val="3"/>
          </w:tcPr>
          <w:p>
            <w:pPr>
              <w:jc w:val="center"/>
              <w:ind w:left="20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3860" w:type="dxa"/>
            <w:vAlign w:val="bottom"/>
            <w:gridSpan w:val="3"/>
            <w:shd w:val="clear" w:color="auto" w:fill="CCEEFF"/>
          </w:tcPr>
          <w:p>
            <w:pPr>
              <w:jc w:val="center"/>
              <w:ind w:left="20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5"/>
              </w:rPr>
              <w:t>China International Capital Corporation Hong Kong Securities Limited</w:t>
            </w:r>
          </w:p>
        </w:tc>
        <w:tc>
          <w:tcPr>
            <w:tcW w:w="3860" w:type="dxa"/>
            <w:vAlign w:val="bottom"/>
            <w:gridSpan w:val="3"/>
          </w:tcPr>
          <w:p>
            <w:pPr>
              <w:jc w:val="center"/>
              <w:ind w:left="20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Tiger Brokers (NZ) Limited</w:t>
            </w:r>
          </w:p>
        </w:tc>
        <w:tc>
          <w:tcPr>
            <w:tcW w:w="3860" w:type="dxa"/>
            <w:vAlign w:val="bottom"/>
            <w:gridSpan w:val="3"/>
            <w:shd w:val="clear" w:color="auto" w:fill="CCEEFF"/>
          </w:tcPr>
          <w:p>
            <w:pPr>
              <w:jc w:val="center"/>
              <w:ind w:left="20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SNB Finance Holdings Limited</w:t>
            </w:r>
          </w:p>
        </w:tc>
        <w:tc>
          <w:tcPr>
            <w:tcW w:w="3860" w:type="dxa"/>
            <w:vAlign w:val="bottom"/>
            <w:gridSpan w:val="3"/>
          </w:tcPr>
          <w:p>
            <w:pPr>
              <w:jc w:val="center"/>
              <w:ind w:left="20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4140" w:type="dxa"/>
            <w:vAlign w:val="bottom"/>
            <w:gridSpan w:val="4"/>
          </w:tcPr>
          <w:p>
            <w:pPr>
              <w:ind w:left="200"/>
              <w:spacing w:after="0"/>
              <w:rPr>
                <w:sz w:val="20"/>
                <w:szCs w:val="20"/>
                <w:color w:val="auto"/>
              </w:rPr>
            </w:pPr>
            <w:r>
              <w:rPr>
                <w:rFonts w:ascii="Arial" w:cs="Arial" w:eastAsia="Arial" w:hAnsi="Arial"/>
                <w:sz w:val="18"/>
                <w:szCs w:val="18"/>
                <w:color w:val="auto"/>
              </w:rPr>
              <w:t>I-1</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32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55" w:name="page56"/>
    <w:bookmarkEnd w:id="55"/>
    <w:p>
      <w:pPr>
        <w:jc w:val="center"/>
        <w:ind w:right="-110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right"/>
        <w:ind w:right="3519"/>
        <w:spacing w:after="0"/>
        <w:rPr>
          <w:sz w:val="20"/>
          <w:szCs w:val="20"/>
          <w:color w:val="auto"/>
        </w:rPr>
      </w:pPr>
      <w:r>
        <w:rPr>
          <w:rFonts w:ascii="Arial" w:cs="Arial" w:eastAsia="Arial" w:hAnsi="Arial"/>
          <w:sz w:val="18"/>
          <w:szCs w:val="18"/>
          <w:b w:val="1"/>
          <w:bCs w:val="1"/>
          <w:color w:val="auto"/>
        </w:rPr>
        <w:t>List of Controlled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25"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Leading Ideal HK Limited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Beijing Co Wheels Technology Co., Ltd.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Beijing Leading Automobile Sales Co., Ltd.</w:t>
      </w:r>
    </w:p>
    <w:p>
      <w:pPr>
        <w:spacing w:after="0" w:line="225" w:lineRule="exact"/>
        <w:rPr>
          <w:rFonts w:ascii="Arial" w:cs="Arial" w:eastAsia="Arial" w:hAnsi="Arial"/>
          <w:sz w:val="18"/>
          <w:szCs w:val="18"/>
          <w:color w:val="auto"/>
        </w:rPr>
      </w:pPr>
    </w:p>
    <w:p>
      <w:pPr>
        <w:ind w:right="4899" w:firstLine="656"/>
        <w:spacing w:after="0" w:line="500" w:lineRule="auto"/>
        <w:tabs>
          <w:tab w:leader="none" w:pos="12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Leading (Xiamen) Private Equity Investment Co., Ltd. Consolidated Variable Interest Entities:</w:t>
      </w:r>
    </w:p>
    <w:p>
      <w:pPr>
        <w:spacing w:after="0" w:line="2"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Beijing CHJ Information Technology Co., Ltd.</w:t>
      </w:r>
    </w:p>
    <w:p>
      <w:pPr>
        <w:spacing w:after="0" w:line="225" w:lineRule="exact"/>
        <w:rPr>
          <w:rFonts w:ascii="Arial" w:cs="Arial" w:eastAsia="Arial" w:hAnsi="Arial"/>
          <w:sz w:val="18"/>
          <w:szCs w:val="18"/>
          <w:color w:val="auto"/>
        </w:rPr>
      </w:pPr>
    </w:p>
    <w:p>
      <w:pPr>
        <w:ind w:right="5359" w:firstLine="656"/>
        <w:spacing w:after="0" w:line="500" w:lineRule="auto"/>
        <w:tabs>
          <w:tab w:leader="none" w:pos="12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Beijing Xindian Transport Information Co., Ltd. Subsidiary of Consolidated Variable Interest Entities:</w:t>
      </w:r>
    </w:p>
    <w:p>
      <w:pPr>
        <w:spacing w:after="0" w:line="2"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Beijing Chelixing Information Technology Co., Ltd.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Jiangsu Xindian Interactive Sales and Services Co., Ltd.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Chongqing Leading Ideal Automobile Co., Ltd.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Jiangsu Zhixing Financial Leasing Co., Ltd.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Jiangsu Xitong Machinery Co., Ltd.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Jiangsu CHJ Automobile Co., Ltd.</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56" w:name="page57"/>
    <w:bookmarkEnd w:id="56"/>
    <w:p>
      <w:pPr>
        <w:ind w:left="4992"/>
        <w:spacing w:after="0"/>
        <w:rPr>
          <w:sz w:val="20"/>
          <w:szCs w:val="20"/>
          <w:color w:val="auto"/>
        </w:rPr>
      </w:pPr>
      <w:r>
        <w:rPr>
          <w:rFonts w:ascii="Arial" w:cs="Arial" w:eastAsia="Arial" w:hAnsi="Arial"/>
          <w:sz w:val="18"/>
          <w:szCs w:val="18"/>
          <w:b w:val="1"/>
          <w:bCs w:val="1"/>
          <w:color w:val="auto"/>
        </w:rPr>
        <w:t>SCHEDULE III</w:t>
      </w:r>
    </w:p>
    <w:p>
      <w:pPr>
        <w:spacing w:after="0" w:line="229" w:lineRule="exact"/>
        <w:rPr>
          <w:sz w:val="20"/>
          <w:szCs w:val="20"/>
          <w:color w:val="auto"/>
        </w:rPr>
      </w:pPr>
    </w:p>
    <w:p>
      <w:pPr>
        <w:ind w:left="652" w:right="3699" w:hanging="652"/>
        <w:spacing w:after="0" w:line="500" w:lineRule="auto"/>
        <w:tabs>
          <w:tab w:leader="none" w:pos="64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Electronic Roadshow dated [July 26, 2020]</w:t>
      </w:r>
    </w:p>
    <w:p>
      <w:pPr>
        <w:spacing w:after="0" w:line="1" w:lineRule="exact"/>
        <w:rPr>
          <w:rFonts w:ascii="Arial" w:cs="Arial" w:eastAsia="Arial" w:hAnsi="Arial"/>
          <w:sz w:val="18"/>
          <w:szCs w:val="18"/>
          <w:color w:val="auto"/>
        </w:rPr>
      </w:pPr>
    </w:p>
    <w:p>
      <w:pPr>
        <w:ind w:left="652" w:right="5979" w:hanging="652"/>
        <w:spacing w:after="0" w:line="500" w:lineRule="auto"/>
        <w:tabs>
          <w:tab w:leader="none" w:pos="6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Additional documents incorporated by reference None</w:t>
      </w:r>
    </w:p>
    <w:p>
      <w:pPr>
        <w:spacing w:after="0" w:line="1" w:lineRule="exact"/>
        <w:rPr>
          <w:rFonts w:ascii="Arial" w:cs="Arial" w:eastAsia="Arial" w:hAnsi="Arial"/>
          <w:sz w:val="18"/>
          <w:szCs w:val="18"/>
          <w:color w:val="auto"/>
        </w:rPr>
      </w:pPr>
    </w:p>
    <w:p>
      <w:pPr>
        <w:ind w:left="652" w:right="2879" w:hanging="652"/>
        <w:spacing w:after="0" w:line="500" w:lineRule="auto"/>
        <w:tabs>
          <w:tab w:leader="none" w:pos="663"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Information other than the Pricing Prospectus that comprise the Pricing Disclosure Package The initial public offering price per share for the ADSs is US$[•]</w:t>
      </w:r>
    </w:p>
    <w:p>
      <w:pPr>
        <w:spacing w:after="0" w:line="1"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The number of ADSs purchased by the Underwriters is [•].</w:t>
      </w:r>
    </w:p>
    <w:p>
      <w:pPr>
        <w:spacing w:after="0" w:line="225" w:lineRule="exact"/>
        <w:rPr>
          <w:rFonts w:ascii="Arial" w:cs="Arial" w:eastAsia="Arial" w:hAnsi="Arial"/>
          <w:sz w:val="18"/>
          <w:szCs w:val="18"/>
          <w:color w:val="auto"/>
        </w:rPr>
      </w:pPr>
    </w:p>
    <w:p>
      <w:pPr>
        <w:ind w:left="652" w:right="6259" w:hanging="652"/>
        <w:spacing w:after="0" w:line="500" w:lineRule="auto"/>
        <w:tabs>
          <w:tab w:leader="none" w:pos="6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Written Testing-the-Waters Communications [•]</w:t>
      </w:r>
    </w:p>
    <w:p>
      <w:pPr>
        <w:spacing w:after="0" w:line="2" w:lineRule="exact"/>
        <w:rPr>
          <w:sz w:val="20"/>
          <w:szCs w:val="20"/>
          <w:color w:val="auto"/>
        </w:rPr>
      </w:pPr>
    </w:p>
    <w:p>
      <w:pPr>
        <w:ind w:left="5452"/>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1"/>
          </w:cols>
          <w:pgMar w:left="328" w:top="337" w:right="1440" w:bottom="1440" w:gutter="0" w:footer="0" w:header="0"/>
        </w:sectPr>
      </w:pPr>
    </w:p>
    <w:bookmarkStart w:id="57" w:name="page58"/>
    <w:bookmarkEnd w:id="57"/>
    <w:p>
      <w:pPr>
        <w:jc w:val="right"/>
        <w:ind w:right="3899"/>
        <w:spacing w:after="0"/>
        <w:rPr>
          <w:sz w:val="20"/>
          <w:szCs w:val="20"/>
          <w:color w:val="auto"/>
        </w:rPr>
      </w:pPr>
      <w:r>
        <w:rPr>
          <w:rFonts w:ascii="Arial" w:cs="Arial" w:eastAsia="Arial" w:hAnsi="Arial"/>
          <w:sz w:val="18"/>
          <w:szCs w:val="18"/>
          <w:b w:val="1"/>
          <w:bCs w:val="1"/>
          <w:color w:val="auto"/>
        </w:rPr>
        <w:t>SCHEDULE IV</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6616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356616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All directors and executive officers of the Company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 shareholders of the Company</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 Auto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Li Auto Inc. (the “</w:t>
      </w:r>
      <w:r>
        <w:rPr>
          <w:rFonts w:ascii="Arial" w:cs="Arial" w:eastAsia="Arial" w:hAnsi="Arial"/>
          <w:sz w:val="18"/>
          <w:szCs w:val="18"/>
          <w:b w:val="1"/>
          <w:bCs w:val="1"/>
          <w:color w:val="auto"/>
        </w:rPr>
        <w:t>Company</w:t>
      </w:r>
      <w:r>
        <w:rPr>
          <w:rFonts w:ascii="Arial" w:cs="Arial" w:eastAsia="Arial" w:hAnsi="Arial"/>
          <w:sz w:val="18"/>
          <w:szCs w:val="18"/>
          <w:color w:val="auto"/>
        </w:rPr>
        <w:t>”) announced today that Goldman Sachs (Asia) L.L.C., Morgan Stanley &amp; Co. LLC, UBS Securities LLC and China International Capital Corporation Hong Kong Securities Limited, the lead joint bookrunners in the recent public sale of [·]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representing [·] Class A ordinary shares of the Company, is [waiving] [releasing] a lock-up restriction with respect to [·] ADSs of the Company held by [certain officers or directors] [an officer or director] of the Company. The [waiver] [release] will take effect on [·], 2020, and the ADSs may be sold on or after such date.</w:t>
      </w:r>
    </w:p>
    <w:p>
      <w:pPr>
        <w:spacing w:after="0" w:line="183"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(Asia)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68th Floor, Cheung Kong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Capital Corporation Hong Kong Securities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29th Floor, One International Finance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Harbour View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540" w:firstLine="648"/>
        <w:spacing w:after="0" w:line="275" w:lineRule="auto"/>
        <w:rPr>
          <w:sz w:val="20"/>
          <w:szCs w:val="20"/>
          <w:color w:val="auto"/>
        </w:rPr>
      </w:pPr>
      <w:r>
        <w:rPr>
          <w:rFonts w:ascii="Arial" w:cs="Arial" w:eastAsia="Arial" w:hAnsi="Arial"/>
          <w:sz w:val="17"/>
          <w:szCs w:val="17"/>
          <w:color w:val="auto"/>
        </w:rPr>
        <w:t>The undersigned understands that Goldman Sachs (Asia) L.L.C., Morgan Stanley &amp; Co. LLC, UBS Securities LLC and China International Capital Corporation Hong Kong Securities Limited (the “</w:t>
      </w:r>
      <w:r>
        <w:rPr>
          <w:rFonts w:ascii="Arial" w:cs="Arial" w:eastAsia="Arial" w:hAnsi="Arial"/>
          <w:sz w:val="17"/>
          <w:szCs w:val="17"/>
          <w:b w:val="1"/>
          <w:bCs w:val="1"/>
          <w:color w:val="auto"/>
        </w:rPr>
        <w:t>Representatives</w:t>
      </w:r>
      <w:r>
        <w:rPr>
          <w:rFonts w:ascii="Arial" w:cs="Arial" w:eastAsia="Arial" w:hAnsi="Arial"/>
          <w:sz w:val="17"/>
          <w:szCs w:val="17"/>
          <w:color w:val="auto"/>
        </w:rPr>
        <w:t>”) propose to enter into an Underwriting Agreement (the “</w:t>
      </w:r>
      <w:r>
        <w:rPr>
          <w:rFonts w:ascii="Arial" w:cs="Arial" w:eastAsia="Arial" w:hAnsi="Arial"/>
          <w:sz w:val="17"/>
          <w:szCs w:val="17"/>
          <w:b w:val="1"/>
          <w:bCs w:val="1"/>
          <w:color w:val="auto"/>
        </w:rPr>
        <w:t>Underwriting</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with Li Auto Inc., an exempted company incorporated in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providing for the public offering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Public Offering</w:t>
      </w:r>
      <w:r>
        <w:rPr>
          <w:rFonts w:ascii="Arial" w:cs="Arial" w:eastAsia="Arial" w:hAnsi="Arial"/>
          <w:sz w:val="17"/>
          <w:szCs w:val="17"/>
          <w:color w:val="auto"/>
        </w:rPr>
        <w:t>”) by the several Underwriters, including the Representatives (the “</w:t>
      </w:r>
      <w:r>
        <w:rPr>
          <w:rFonts w:ascii="Arial" w:cs="Arial" w:eastAsia="Arial" w:hAnsi="Arial"/>
          <w:sz w:val="17"/>
          <w:szCs w:val="17"/>
          <w:b w:val="1"/>
          <w:bCs w:val="1"/>
          <w:color w:val="auto"/>
        </w:rPr>
        <w:t>Underwriters</w:t>
      </w:r>
      <w:r>
        <w:rPr>
          <w:rFonts w:ascii="Arial" w:cs="Arial" w:eastAsia="Arial" w:hAnsi="Arial"/>
          <w:sz w:val="17"/>
          <w:szCs w:val="17"/>
          <w:color w:val="auto"/>
        </w:rPr>
        <w:t>”), of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representing Class A ordinary shares, par value US$0.0001 per share, of the Company (the “</w:t>
      </w:r>
      <w:r>
        <w:rPr>
          <w:rFonts w:ascii="Arial" w:cs="Arial" w:eastAsia="Arial" w:hAnsi="Arial"/>
          <w:sz w:val="17"/>
          <w:szCs w:val="17"/>
          <w:b w:val="1"/>
          <w:bCs w:val="1"/>
          <w:color w:val="auto"/>
        </w:rPr>
        <w:t>Ordinary Shares</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17"/>
          <w:szCs w:val="17"/>
          <w:color w:val="auto"/>
        </w:rPr>
        <w:t>To induce the Underwriters that may participate in the Public Offering to continue their efforts in connection with the Public Offering,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undersigned hereby agrees that, without the prior written consent of the Representatives on behalf of the Underwriters, it will not, during the period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commencing on the date hereof and ending 180 days after the date of the final prospectus (the “</w:t>
      </w:r>
      <w:r>
        <w:rPr>
          <w:rFonts w:ascii="Arial" w:cs="Arial" w:eastAsia="Arial" w:hAnsi="Arial"/>
          <w:sz w:val="17"/>
          <w:szCs w:val="17"/>
          <w:b w:val="1"/>
          <w:bCs w:val="1"/>
          <w:color w:val="auto"/>
        </w:rPr>
        <w:t>Lock-up Period</w:t>
      </w:r>
      <w:r>
        <w:rPr>
          <w:rFonts w:ascii="Arial" w:cs="Arial" w:eastAsia="Arial" w:hAnsi="Arial"/>
          <w:sz w:val="17"/>
          <w:szCs w:val="17"/>
          <w:color w:val="auto"/>
        </w:rPr>
        <w:t>”) relating to the Public Offering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warrant to purchase, lend, or otherwise transfer or dispose of, directly or indirectly, any ADSs or Ordinary Shares beneficially owned (as such term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used in Rule 13d-3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by the undersigned or any other securities so owned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convertible into or exercisable or exchangeable for ADSs or Ordinary Shares or (2) enter into any swap, hedge or other arrangement that transfers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another, in whole or in part, any of the economic consequences of ownership of ADSs or Ordinary Shares, whether any such transaction described in clause</w:t>
      </w:r>
    </w:p>
    <w:p>
      <w:pPr>
        <w:spacing w:after="0" w:line="32" w:lineRule="exact"/>
        <w:rPr>
          <w:sz w:val="20"/>
          <w:szCs w:val="20"/>
          <w:color w:val="auto"/>
        </w:rPr>
      </w:pPr>
    </w:p>
    <w:p>
      <w:pPr>
        <w:ind w:firstLine="8"/>
        <w:spacing w:after="0" w:line="266" w:lineRule="auto"/>
        <w:tabs>
          <w:tab w:leader="none" w:pos="2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or (2) above is to be settled by delivery of ADSs, Ordinary Shares or such other securities, in cash or otherwise, or publicly disclose the intention to make any such offer, sale, pledge or disposition, or to enter into any such transaction, swap, hedge or other arrangement, without, in each case, the prior written consent of the Representatives. The foregoing sentence shall not apply to (a) transactions relating to ADSs, Ordinary Shares or other securities acquired in the Public Offering or in open market transactions after the completion of the Public Offering, (b) transfers of ADSs, Ordinary Shares or any security convertible into ADSs or Ordinary Shares as a bona fide gift, or through will or intestacy, (c) distributions or tender of ADSs, Ordinary Shares or any security convertible into ADSs or Ordinary Shares to limited partners or shareholders or affiliates (within the meaning set forth in Rule 405 as promulgated by the SEC under the Securities Act of 1933, as amended) of the undersigned;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transfer or distribution pursuant to clause (b) or (c), (i) each donee, distributee or transferee shall sign and deliver a lock-up letter substantially in the form of this letter and (ii) no filing under the Exchange Act, reporting a reduction in beneficial ownership of ADSs or Ordinary Shares, shall be required or shall be voluntarily made during the Lock-up Period, (d) the establishment of a trading plan pursuant to Rule 10b5-1 under the Exchange Act for the transfer of ADSs or Ordinary Shares,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such plan does not provide for the transfer of ADSs or Ordinary Shares during the Lock-up Period and (ii) to the extent a public</w:t>
      </w:r>
      <w:r>
        <w:rPr>
          <w:rFonts w:ascii="Arial" w:cs="Arial" w:eastAsia="Arial" w:hAnsi="Arial"/>
          <w:sz w:val="17"/>
          <w:szCs w:val="17"/>
          <w:i w:val="1"/>
          <w:iCs w:val="1"/>
          <w:color w:val="auto"/>
        </w:rPr>
        <w:t xml:space="preserve"> </w:t>
      </w:r>
      <w:r>
        <w:rPr>
          <w:rFonts w:ascii="Arial" w:cs="Arial" w:eastAsia="Arial" w:hAnsi="Arial"/>
          <w:sz w:val="17"/>
          <w:szCs w:val="17"/>
          <w:color w:val="auto"/>
        </w:rPr>
        <w:t>announcement or filing under the Exchange Act, if any, is required of or voluntarily made by or on behalf of the undersigned or the Company regarding the establishment of such plan, such announcement or filing shall include a statement to the effect that no transfer of ADSs or Ordinary Shares may be made under such plan during the Lock-up Period, (e) transfers of ADSs, Ordinary Shares or any security convertible into ADSs or Ordinary Shares to the immediate family of the undersigned, any trust for the direct or indirect benefit of the undersigned or the immediate family of the undersigned, or to any entity beneficially owned and controlled by the undersigned or any immediate family member of the undersigned, provided that the transferee agrees to be bound in writing by the restrictions set forth herein, and provided further that any such transfer shall not involve a disposition for value, (f) the Public Offering based on the mutual agreement by and among the undersigned, the Company and the Underwriters, or (g) transfers of ADSs, Ordinary Shares or any security convertible into ADSs or Ordinary Shares to the Company (i) upon the exercise or settlement of options, restricted stock units or warrants that were granted pursuant to an option plan, incentive plan or stock purchase plan described in the Prospectus to purchase the Company’s securities to the extent permitted by the instruments representing such options or warrants and provided that any and all Ordinary Shares or ADSs issued or transferred because of such exercise will be held by the undersigned subject to the terms of this Agreement or by the Company subject to lock-up restrictions as provided in the Underwriting Agreement or (ii) in connection with the repurchase by the Company pursuant to a repurchase right arising upon the termination of the undersigned’s employment with the Company for a purchase price specified in an agreement existing on the date hereof. In addition, the undersigned agrees that, without the prior written consent of the Representatives on behalf of the Underwriters, it will not, during the Lock-up Period, make any demand for or exercise any right with respect to, the registration of any shares of ADSs or Ordinary Shares or any security convertible into or exercisable or exchangeable for ADSs or Ordinary Shares. The undersigned also agrees and consents to the entry of stop transfer instructions with the Company’s transfer agent and registrar against the transfer of the undersigned’s ADSs or Ordinary Shares except in compliance with the foregoing restrictions. For purposes of this Lock-Up Letter, “immediate family” shall mean any relationship by blood, marriage or adoption, not more remote than first cousin.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ind w:right="740" w:firstLine="648"/>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provisions shall be equally applicable to any issuer-directed ADSs the undersigned may purchase in the offering.]</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shares of ADSs or Ordinary Shares,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4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This letter shall terminate and the undersigned shall be released from its obligations hereinabove on the earlier of (i) the date the Company advises the Representatives in writing, prior to the execution of the Underwriting Agreement, that it has determined not to proceed with the Public Offering,</w:t>
      </w:r>
    </w:p>
    <w:p>
      <w:pPr>
        <w:ind w:firstLine="8"/>
        <w:spacing w:after="0" w:line="290" w:lineRule="auto"/>
        <w:tabs>
          <w:tab w:leader="none" w:pos="265"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November 31, 2020, if the Underwriting Agreement shall not have been signed by that date, (iii) the date of termination of the Underwriting Agreement before the closing of the Public Offering, or (iv) December 31, 2020, if the closing of the Public Offering has not occurred by that date.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is governed by, and to be construed in accordance with the laws of the State of New York.</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232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54"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Printed Name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6"/>
          <w:szCs w:val="16"/>
          <w:color w:val="auto"/>
        </w:rPr>
        <w:t>(and indicate capacity of person signing, if signing as custodian, trustee, or</w:t>
      </w:r>
    </w:p>
    <w:p>
      <w:pPr>
        <w:spacing w:after="0" w:line="32"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on behalf of an entity)</w:t>
      </w:r>
    </w:p>
    <w:p>
      <w:pPr>
        <w:spacing w:after="0" w:line="200" w:lineRule="exact"/>
        <w:rPr>
          <w:sz w:val="20"/>
          <w:szCs w:val="20"/>
          <w:color w:val="auto"/>
        </w:rPr>
      </w:pPr>
    </w:p>
    <w:p>
      <w:pPr>
        <w:spacing w:after="0" w:line="24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Printed Address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letter is being delivered to you in connection with the offering by Li Auto Inc. (the “</w:t>
      </w:r>
      <w:r>
        <w:rPr>
          <w:rFonts w:ascii="Arial" w:cs="Arial" w:eastAsia="Arial" w:hAnsi="Arial"/>
          <w:sz w:val="17"/>
          <w:szCs w:val="17"/>
          <w:b w:val="1"/>
          <w:bCs w:val="1"/>
          <w:color w:val="auto"/>
        </w:rPr>
        <w:t>Company</w:t>
      </w:r>
      <w:r>
        <w:rPr>
          <w:rFonts w:ascii="Arial" w:cs="Arial" w:eastAsia="Arial" w:hAnsi="Arial"/>
          <w:sz w:val="17"/>
          <w:szCs w:val="17"/>
          <w:color w:val="auto"/>
        </w:rPr>
        <w:t>”) of [·] American Depositary Shares (the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3"/>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ADSs</w:t>
            </w:r>
            <w:r>
              <w:rPr>
                <w:rFonts w:ascii="Arial" w:cs="Arial" w:eastAsia="Arial" w:hAnsi="Arial"/>
                <w:sz w:val="18"/>
                <w:szCs w:val="18"/>
                <w:color w:val="auto"/>
                <w:w w:val="90"/>
              </w:rPr>
              <w:t>”), representing Class A ordinary shares, US$0.0001 par value, of the Company, and the lock-up letter dated</w:t>
            </w:r>
          </w:p>
        </w:tc>
        <w:tc>
          <w:tcPr>
            <w:tcW w:w="320" w:type="dxa"/>
            <w:vAlign w:val="bottom"/>
            <w:tcBorders>
              <w:bottom w:val="single" w:sz="8" w:color="auto"/>
            </w:tcBorders>
          </w:tcPr>
          <w:p>
            <w:pPr>
              <w:spacing w:after="0"/>
              <w:rPr>
                <w:sz w:val="17"/>
                <w:szCs w:val="17"/>
                <w:color w:val="auto"/>
              </w:rPr>
            </w:pPr>
          </w:p>
        </w:tc>
        <w:tc>
          <w:tcPr>
            <w:tcW w:w="2260" w:type="dxa"/>
            <w:vAlign w:val="bottom"/>
          </w:tcPr>
          <w:p>
            <w:pPr>
              <w:spacing w:after="0"/>
              <w:rPr>
                <w:sz w:val="20"/>
                <w:szCs w:val="20"/>
                <w:color w:val="auto"/>
              </w:rPr>
            </w:pPr>
            <w:r>
              <w:rPr>
                <w:rFonts w:ascii="Arial" w:cs="Arial" w:eastAsia="Arial" w:hAnsi="Arial"/>
                <w:sz w:val="18"/>
                <w:szCs w:val="18"/>
                <w:color w:val="auto"/>
                <w:w w:val="93"/>
              </w:rPr>
              <w:t>, 2020 (the “</w:t>
            </w:r>
            <w:r>
              <w:rPr>
                <w:rFonts w:ascii="Arial" w:cs="Arial" w:eastAsia="Arial" w:hAnsi="Arial"/>
                <w:sz w:val="18"/>
                <w:szCs w:val="18"/>
                <w:b w:val="1"/>
                <w:bCs w:val="1"/>
                <w:color w:val="auto"/>
                <w:w w:val="93"/>
              </w:rPr>
              <w:t>Lock-up Letter</w:t>
            </w:r>
            <w:r>
              <w:rPr>
                <w:rFonts w:ascii="Arial" w:cs="Arial" w:eastAsia="Arial" w:hAnsi="Arial"/>
                <w:sz w:val="18"/>
                <w:szCs w:val="18"/>
                <w:color w:val="auto"/>
                <w:w w:val="93"/>
              </w:rPr>
              <w:t>”),</w:t>
            </w:r>
          </w:p>
        </w:tc>
      </w:tr>
      <w:tr>
        <w:trPr>
          <w:trHeight w:val="196"/>
        </w:trPr>
        <w:tc>
          <w:tcPr>
            <w:tcW w:w="7040" w:type="dxa"/>
            <w:vAlign w:val="bottom"/>
          </w:tcPr>
          <w:p>
            <w:pPr>
              <w:spacing w:after="0" w:line="196" w:lineRule="exact"/>
              <w:rPr>
                <w:sz w:val="20"/>
                <w:szCs w:val="20"/>
                <w:color w:val="auto"/>
              </w:rPr>
            </w:pPr>
            <w:r>
              <w:rPr>
                <w:rFonts w:ascii="Arial" w:cs="Arial" w:eastAsia="Arial" w:hAnsi="Arial"/>
                <w:sz w:val="18"/>
                <w:szCs w:val="18"/>
                <w:color w:val="auto"/>
                <w:w w:val="91"/>
              </w:rPr>
              <w:t>executed by you in connection with such offering, and your request for a [waiver] [release] dated</w:t>
            </w:r>
          </w:p>
        </w:tc>
        <w:tc>
          <w:tcPr>
            <w:tcW w:w="300" w:type="dxa"/>
            <w:vAlign w:val="bottom"/>
            <w:tcBorders>
              <w:bottom w:val="single" w:sz="8" w:color="auto"/>
            </w:tcBorders>
          </w:tcPr>
          <w:p>
            <w:pPr>
              <w:spacing w:after="0"/>
              <w:rPr>
                <w:sz w:val="17"/>
                <w:szCs w:val="17"/>
                <w:color w:val="auto"/>
              </w:rPr>
            </w:pPr>
          </w:p>
        </w:tc>
        <w:tc>
          <w:tcPr>
            <w:tcW w:w="3580" w:type="dxa"/>
            <w:vAlign w:val="bottom"/>
            <w:gridSpan w:val="3"/>
          </w:tcPr>
          <w:p>
            <w:pPr>
              <w:spacing w:after="0" w:line="196" w:lineRule="exact"/>
              <w:rPr>
                <w:sz w:val="20"/>
                <w:szCs w:val="20"/>
                <w:color w:val="auto"/>
              </w:rPr>
            </w:pPr>
            <w:r>
              <w:rPr>
                <w:rFonts w:ascii="Arial" w:cs="Arial" w:eastAsia="Arial" w:hAnsi="Arial"/>
                <w:sz w:val="18"/>
                <w:szCs w:val="18"/>
                <w:color w:val="auto"/>
              </w:rPr>
              <w:t>, 2020, with respect to [·] ADSs.</w:t>
            </w:r>
          </w:p>
        </w:tc>
      </w:tr>
    </w:tbl>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undersigned hereby agree[s] to [waive] [release] the transfer restrictions set forth in the Lock-up Letter, but only with respect to the ADSs, effective , 2020;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-309245</wp:posOffset>
            </wp:positionV>
            <wp:extent cx="2000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Goldman Sachs (Asia)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China International Capital Corporation Hong Kong Securities Limited</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Acting severally on behalf of themselves and the several Underwriters named</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 Schedule I hereto</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lowerLetter"/>
      <w:start w:val="1"/>
    </w:lvl>
  </w:abstractNum>
  <w:abstractNum w:abstractNumId="3">
    <w:nsid w:val="5577F8E1"/>
    <w:multiLevelType w:val="hybridMultilevel"/>
    <w:lvl w:ilvl="0">
      <w:lvlJc w:val="left"/>
      <w:lvlText w:val="(%1)"/>
      <w:numFmt w:val="lowerLetter"/>
      <w:start w:val="2"/>
    </w:lvl>
  </w:abstractNum>
  <w:abstractNum w:abstractNumId="4">
    <w:nsid w:val="440BADFC"/>
    <w:multiLevelType w:val="hybridMultilevel"/>
    <w:lvl w:ilvl="0">
      <w:lvlJc w:val="left"/>
      <w:lvlText w:val="(%1)"/>
      <w:numFmt w:val="decimal"/>
      <w:start w:val="1"/>
    </w:lvl>
    <w:lvl w:ilvl="1">
      <w:lvlJc w:val="left"/>
      <w:lvlText w:val="(%2)"/>
      <w:numFmt w:val="lowerRoman"/>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1."/>
      <w:numFmt w:val="decimal"/>
      <w:start w:val="1"/>
    </w:lvl>
    <w:lvl w:ilvl="1">
      <w:lvlJc w:val="left"/>
      <w:lvlText w:val="(%2)"/>
      <w:numFmt w:val="lowerRoman"/>
      <w:start w:val="1"/>
    </w:lvl>
  </w:abstractNum>
  <w:abstractNum w:abstractNumId="8">
    <w:nsid w:val="7724C67E"/>
    <w:multiLevelType w:val="hybridMultilevel"/>
    <w:lvl w:ilvl="0">
      <w:lvlJc w:val="left"/>
      <w:lvlText w:val="(%1)"/>
      <w:numFmt w:val="lowerRoman"/>
      <w:start w:val="2"/>
    </w:lvl>
  </w:abstractNum>
  <w:abstractNum w:abstractNumId="9">
    <w:nsid w:val="5C482A97"/>
    <w:multiLevelType w:val="hybridMultilevel"/>
    <w:lvl w:ilvl="0">
      <w:lvlJc w:val="left"/>
      <w:lvlText w:val="(%1)"/>
      <w:numFmt w:val="lowerRoman"/>
      <w:start w:val="5"/>
    </w:lvl>
  </w:abstractNum>
  <w:abstractNum w:abstractNumId="10">
    <w:nsid w:val="2463B9EA"/>
    <w:multiLevelType w:val="hybridMultilevel"/>
    <w:lvl w:ilvl="0">
      <w:lvlJc w:val="left"/>
      <w:lvlText w:val="(%1)"/>
      <w:numFmt w:val="lowerRoman"/>
      <w:start w:val="6"/>
    </w:lvl>
  </w:abstractNum>
  <w:abstractNum w:abstractNumId="11">
    <w:nsid w:val="5E884ADC"/>
    <w:multiLevelType w:val="hybridMultilevel"/>
    <w:lvl w:ilvl="0">
      <w:lvlJc w:val="left"/>
      <w:lvlText w:val="(%1)"/>
      <w:numFmt w:val="lowerRoman"/>
      <w:start w:val="8"/>
    </w:lvl>
  </w:abstractNum>
  <w:abstractNum w:abstractNumId="12">
    <w:nsid w:val="51EAD36B"/>
    <w:multiLevelType w:val="hybridMultilevel"/>
    <w:lvl w:ilvl="0">
      <w:lvlJc w:val="left"/>
      <w:lvlText w:val="(%1)"/>
      <w:numFmt w:val="lowerRoman"/>
      <w:start w:val="14"/>
    </w:lvl>
  </w:abstractNum>
  <w:abstractNum w:abstractNumId="13">
    <w:nsid w:val="2D517796"/>
    <w:multiLevelType w:val="hybridMultilevel"/>
    <w:lvl w:ilvl="0">
      <w:lvlJc w:val="left"/>
      <w:lvlText w:val="(%1)"/>
      <w:numFmt w:val="lowerRoman"/>
      <w:start w:val="16"/>
    </w:lvl>
    <w:lvl w:ilvl="1">
      <w:lvlJc w:val="left"/>
      <w:lvlText w:val="(%2)"/>
      <w:numFmt w:val="upperLetter"/>
      <w:start w:val="1"/>
    </w:lvl>
  </w:abstractNum>
  <w:abstractNum w:abstractNumId="14">
    <w:nsid w:val="580BD78F"/>
    <w:multiLevelType w:val="hybridMultilevel"/>
    <w:lvl w:ilvl="0">
      <w:lvlJc w:val="left"/>
      <w:lvlText w:val="%1"/>
      <w:numFmt w:val="lowerRoman"/>
      <w:start w:val="1"/>
    </w:lvl>
    <w:lvl w:ilvl="1">
      <w:lvlJc w:val="left"/>
      <w:lvlText w:val="(%2)"/>
      <w:numFmt w:val="upperLetter"/>
      <w:start w:val="3"/>
    </w:lvl>
  </w:abstractNum>
  <w:abstractNum w:abstractNumId="15">
    <w:nsid w:val="153EA438"/>
    <w:multiLevelType w:val="hybridMultilevel"/>
    <w:lvl w:ilvl="0">
      <w:lvlJc w:val="left"/>
      <w:lvlText w:val="(%1)"/>
      <w:numFmt w:val="lowerRoman"/>
      <w:start w:val="19"/>
    </w:lvl>
    <w:lvl w:ilvl="1">
      <w:lvlJc w:val="left"/>
      <w:lvlText w:val="%2"/>
      <w:numFmt w:val="upperLetter"/>
      <w:start w:val="1"/>
    </w:lvl>
  </w:abstractNum>
  <w:abstractNum w:abstractNumId="16">
    <w:nsid w:val="3855585C"/>
    <w:multiLevelType w:val="hybridMultilevel"/>
    <w:lvl w:ilvl="0">
      <w:lvlJc w:val="left"/>
      <w:lvlText w:val="(%1)"/>
      <w:numFmt w:val="lowerRoman"/>
      <w:start w:val="20"/>
    </w:lvl>
  </w:abstractNum>
  <w:abstractNum w:abstractNumId="17">
    <w:nsid w:val="70A64E2A"/>
    <w:multiLevelType w:val="hybridMultilevel"/>
    <w:lvl w:ilvl="0">
      <w:lvlJc w:val="left"/>
      <w:lvlText w:val="(%1)"/>
      <w:numFmt w:val="lowerRoman"/>
      <w:start w:val="23"/>
    </w:lvl>
  </w:abstractNum>
  <w:abstractNum w:abstractNumId="18">
    <w:nsid w:val="6A2342EC"/>
    <w:multiLevelType w:val="hybridMultilevel"/>
    <w:lvl w:ilvl="0">
      <w:lvlJc w:val="left"/>
      <w:lvlText w:val="(%1)"/>
      <w:numFmt w:val="lowerRoman"/>
      <w:start w:val="24"/>
    </w:lvl>
  </w:abstractNum>
  <w:abstractNum w:abstractNumId="19">
    <w:nsid w:val="2A487CB0"/>
    <w:multiLevelType w:val="hybridMultilevel"/>
    <w:lvl w:ilvl="0">
      <w:lvlJc w:val="left"/>
      <w:lvlText w:val="(%1)"/>
      <w:numFmt w:val="lowerRoman"/>
      <w:start w:val="28"/>
    </w:lvl>
  </w:abstractNum>
  <w:abstractNum w:abstractNumId="20">
    <w:nsid w:val="1D4ED43B"/>
    <w:multiLevelType w:val="hybridMultilevel"/>
    <w:lvl w:ilvl="0">
      <w:lvlJc w:val="left"/>
      <w:lvlText w:val="(%1)"/>
      <w:numFmt w:val="lowerRoman"/>
      <w:start w:val="32"/>
    </w:lvl>
  </w:abstractNum>
  <w:abstractNum w:abstractNumId="21">
    <w:nsid w:val="725A06FB"/>
    <w:multiLevelType w:val="hybridMultilevel"/>
    <w:lvl w:ilvl="0">
      <w:lvlJc w:val="left"/>
      <w:lvlText w:val="(%1)"/>
      <w:numFmt w:val="lowerRoman"/>
      <w:start w:val="35"/>
    </w:lvl>
  </w:abstractNum>
  <w:abstractNum w:abstractNumId="22">
    <w:nsid w:val="2CD89A32"/>
    <w:multiLevelType w:val="hybridMultilevel"/>
    <w:lvl w:ilvl="0">
      <w:lvlJc w:val="left"/>
      <w:lvlText w:val="(%1)"/>
      <w:numFmt w:val="lowerRoman"/>
      <w:start w:val="34"/>
    </w:lvl>
  </w:abstractNum>
  <w:abstractNum w:abstractNumId="23">
    <w:nsid w:val="57E4CCAF"/>
    <w:multiLevelType w:val="hybridMultilevel"/>
    <w:lvl w:ilvl="0">
      <w:lvlJc w:val="left"/>
      <w:lvlText w:val="(%1)"/>
      <w:numFmt w:val="lowerRoman"/>
      <w:start w:val="39"/>
    </w:lvl>
  </w:abstractNum>
  <w:abstractNum w:abstractNumId="24">
    <w:nsid w:val="7A6D8D3C"/>
    <w:multiLevelType w:val="hybridMultilevel"/>
    <w:lvl w:ilvl="0">
      <w:lvlJc w:val="left"/>
      <w:lvlText w:val="(%1)"/>
      <w:numFmt w:val="lowerLetter"/>
      <w:start w:val="12"/>
    </w:lvl>
  </w:abstractNum>
  <w:abstractNum w:abstractNumId="25">
    <w:nsid w:val="4B588F54"/>
    <w:multiLevelType w:val="hybridMultilevel"/>
    <w:lvl w:ilvl="0">
      <w:lvlJc w:val="left"/>
      <w:lvlText w:val="%1."/>
      <w:numFmt w:val="decimal"/>
      <w:start w:val="2"/>
    </w:lvl>
  </w:abstractNum>
  <w:abstractNum w:abstractNumId="26">
    <w:nsid w:val="542289EC"/>
    <w:multiLevelType w:val="hybridMultilevel"/>
    <w:lvl w:ilvl="0">
      <w:lvlJc w:val="left"/>
      <w:lvlText w:val="%1."/>
      <w:numFmt w:val="decimal"/>
      <w:start w:val="3"/>
    </w:lvl>
  </w:abstractNum>
  <w:abstractNum w:abstractNumId="27">
    <w:nsid w:val="6DE91B18"/>
    <w:multiLevelType w:val="hybridMultilevel"/>
    <w:lvl w:ilvl="0">
      <w:lvlJc w:val="left"/>
      <w:lvlText w:val="(%1)"/>
      <w:numFmt w:val="lowerLetter"/>
      <w:start w:val="2"/>
    </w:lvl>
  </w:abstractNum>
  <w:abstractNum w:abstractNumId="28">
    <w:nsid w:val="38437FDB"/>
    <w:multiLevelType w:val="hybridMultilevel"/>
    <w:lvl w:ilvl="0">
      <w:lvlJc w:val="left"/>
      <w:lvlText w:val="%1."/>
      <w:numFmt w:val="decimal"/>
      <w:start w:val="5"/>
    </w:lvl>
  </w:abstractNum>
  <w:abstractNum w:abstractNumId="29">
    <w:nsid w:val="7644A45C"/>
    <w:multiLevelType w:val="hybridMultilevel"/>
    <w:lvl w:ilvl="0">
      <w:lvlJc w:val="left"/>
      <w:lvlText w:val="(%1)"/>
      <w:numFmt w:val="lowerLetter"/>
      <w:start w:val="1"/>
    </w:lvl>
  </w:abstractNum>
  <w:abstractNum w:abstractNumId="30">
    <w:nsid w:val="32FFF902"/>
    <w:multiLevelType w:val="hybridMultilevel"/>
    <w:lvl w:ilvl="0">
      <w:lvlJc w:val="left"/>
      <w:lvlText w:val="(%1)"/>
      <w:numFmt w:val="lowerLetter"/>
      <w:start w:val="3"/>
    </w:lvl>
  </w:abstractNum>
  <w:abstractNum w:abstractNumId="31">
    <w:nsid w:val="684A481A"/>
    <w:multiLevelType w:val="hybridMultilevel"/>
    <w:lvl w:ilvl="0">
      <w:lvlJc w:val="left"/>
      <w:lvlText w:val="%1"/>
      <w:numFmt w:val="lowerLetter"/>
      <w:start w:val="1"/>
    </w:lvl>
    <w:lvl w:ilvl="1">
      <w:lvlJc w:val="left"/>
      <w:lvlText w:val="(%2)"/>
      <w:numFmt w:val="lowerLetter"/>
      <w:start w:val="35"/>
    </w:lvl>
  </w:abstractNum>
  <w:abstractNum w:abstractNumId="32">
    <w:nsid w:val="579478FE"/>
    <w:multiLevelType w:val="hybridMultilevel"/>
    <w:lvl w:ilvl="0">
      <w:lvlJc w:val="left"/>
      <w:lvlText w:val="(%1)"/>
      <w:numFmt w:val="lowerLetter"/>
      <w:start w:val="6"/>
    </w:lvl>
    <w:lvl w:ilvl="1">
      <w:lvlJc w:val="left"/>
      <w:lvlText w:val="%2"/>
      <w:numFmt w:val="lowerLetter"/>
      <w:start w:val="1"/>
    </w:lvl>
  </w:abstractNum>
  <w:abstractNum w:abstractNumId="33">
    <w:nsid w:val="749ABB43"/>
    <w:multiLevelType w:val="hybridMultilevel"/>
    <w:lvl w:ilvl="0">
      <w:lvlJc w:val="left"/>
      <w:lvlText w:val="(%1)"/>
      <w:numFmt w:val="lowerLetter"/>
      <w:start w:val="9"/>
    </w:lvl>
  </w:abstractNum>
  <w:abstractNum w:abstractNumId="34">
    <w:nsid w:val="3DC240FB"/>
    <w:multiLevelType w:val="hybridMultilevel"/>
    <w:lvl w:ilvl="0">
      <w:lvlJc w:val="left"/>
      <w:lvlText w:val="%1."/>
      <w:numFmt w:val="decimal"/>
      <w:start w:val="6"/>
    </w:lvl>
  </w:abstractNum>
  <w:abstractNum w:abstractNumId="35">
    <w:nsid w:val="1BA026FA"/>
    <w:multiLevelType w:val="hybridMultilevel"/>
    <w:lvl w:ilvl="0">
      <w:lvlJc w:val="left"/>
      <w:lvlText w:val="(%1)"/>
      <w:numFmt w:val="lowerLetter"/>
      <w:start w:val="2"/>
    </w:lvl>
  </w:abstractNum>
  <w:abstractNum w:abstractNumId="36">
    <w:nsid w:val="79A1DEAA"/>
    <w:multiLevelType w:val="hybridMultilevel"/>
    <w:lvl w:ilvl="0">
      <w:lvlJc w:val="left"/>
      <w:lvlText w:val="%1"/>
      <w:numFmt w:val="lowerRoman"/>
      <w:start w:val="1"/>
    </w:lvl>
    <w:lvl w:ilvl="1">
      <w:lvlJc w:val="left"/>
      <w:lvlText w:val="%2."/>
      <w:numFmt w:val="decimal"/>
      <w:start w:val="7"/>
    </w:lvl>
  </w:abstractNum>
  <w:abstractNum w:abstractNumId="37">
    <w:nsid w:val="75C6C33A"/>
    <w:multiLevelType w:val="hybridMultilevel"/>
    <w:lvl w:ilvl="0">
      <w:lvlJc w:val="left"/>
      <w:lvlText w:val="(%1)"/>
      <w:numFmt w:val="lowerRoman"/>
      <w:start w:val="4"/>
    </w:lvl>
    <w:lvl w:ilvl="1">
      <w:lvlJc w:val="left"/>
      <w:lvlText w:val="%2."/>
      <w:numFmt w:val="decimal"/>
      <w:start w:val="8"/>
    </w:lvl>
  </w:abstractNum>
  <w:abstractNum w:abstractNumId="38">
    <w:nsid w:val="12E685FB"/>
    <w:multiLevelType w:val="hybridMultilevel"/>
    <w:lvl w:ilvl="0">
      <w:lvlJc w:val="left"/>
      <w:lvlText w:val="(%1)"/>
      <w:numFmt w:val="lowerLetter"/>
      <w:start w:val="1"/>
    </w:lvl>
  </w:abstractNum>
  <w:abstractNum w:abstractNumId="39">
    <w:nsid w:val="70C6A529"/>
    <w:multiLevelType w:val="hybridMultilevel"/>
    <w:lvl w:ilvl="0">
      <w:lvlJc w:val="left"/>
      <w:lvlText w:val="%1"/>
      <w:numFmt w:val="lowerLetter"/>
      <w:start w:val="1"/>
    </w:lvl>
    <w:lvl w:ilvl="1">
      <w:lvlJc w:val="left"/>
      <w:lvlText w:val="(%2)"/>
      <w:numFmt w:val="lowerLetter"/>
      <w:start w:val="2"/>
    </w:lvl>
  </w:abstractNum>
  <w:abstractNum w:abstractNumId="40">
    <w:nsid w:val="520EEDD1"/>
    <w:multiLevelType w:val="hybridMultilevel"/>
    <w:lvl w:ilvl="0">
      <w:lvlJc w:val="left"/>
      <w:lvlText w:val="(%1)"/>
      <w:numFmt w:val="lowerLetter"/>
      <w:start w:val="3"/>
    </w:lvl>
    <w:lvl w:ilvl="1">
      <w:lvlJc w:val="left"/>
      <w:lvlText w:val="%2"/>
      <w:numFmt w:val="lowerLetter"/>
      <w:start w:val="1"/>
    </w:lvl>
  </w:abstractNum>
  <w:abstractNum w:abstractNumId="41">
    <w:nsid w:val="374A3FE6"/>
    <w:multiLevelType w:val="hybridMultilevel"/>
    <w:lvl w:ilvl="0">
      <w:lvlJc w:val="left"/>
      <w:lvlText w:val="%1"/>
      <w:numFmt w:val="lowerLetter"/>
      <w:start w:val="1"/>
    </w:lvl>
    <w:lvl w:ilvl="1">
      <w:lvlJc w:val="left"/>
      <w:lvlText w:val="(%2)"/>
      <w:numFmt w:val="lowerLetter"/>
      <w:start w:val="10"/>
    </w:lvl>
  </w:abstractNum>
  <w:abstractNum w:abstractNumId="42">
    <w:nsid w:val="4F4EF005"/>
    <w:multiLevelType w:val="hybridMultilevel"/>
    <w:lvl w:ilvl="0">
      <w:lvlJc w:val="left"/>
      <w:lvlText w:val="(%1)"/>
      <w:numFmt w:val="lowerLetter"/>
      <w:start w:val="11"/>
    </w:lvl>
    <w:lvl w:ilvl="1">
      <w:lvlJc w:val="left"/>
      <w:lvlText w:val="%2"/>
      <w:numFmt w:val="lowerLetter"/>
      <w:start w:val="1"/>
    </w:lvl>
  </w:abstractNum>
  <w:abstractNum w:abstractNumId="43">
    <w:nsid w:val="23F9C13C"/>
    <w:multiLevelType w:val="hybridMultilevel"/>
    <w:lvl w:ilvl="0">
      <w:lvlJc w:val="left"/>
      <w:lvlText w:val="(%1)"/>
      <w:numFmt w:val="lowerLetter"/>
      <w:start w:val="12"/>
    </w:lvl>
  </w:abstractNum>
  <w:abstractNum w:abstractNumId="44">
    <w:nsid w:val="649BB77C"/>
    <w:multiLevelType w:val="hybridMultilevel"/>
    <w:lvl w:ilvl="0">
      <w:lvlJc w:val="left"/>
      <w:lvlText w:val="(%1)"/>
      <w:numFmt w:val="lowerLetter"/>
      <w:start w:val="18"/>
    </w:lvl>
  </w:abstractNum>
  <w:abstractNum w:abstractNumId="45">
    <w:nsid w:val="275AC794"/>
    <w:multiLevelType w:val="hybridMultilevel"/>
    <w:lvl w:ilvl="0">
      <w:lvlJc w:val="left"/>
      <w:lvlText w:val="(%1)"/>
      <w:numFmt w:val="lowerLetter"/>
      <w:start w:val="20"/>
    </w:lvl>
  </w:abstractNum>
  <w:abstractNum w:abstractNumId="46">
    <w:nsid w:val="39386575"/>
    <w:multiLevelType w:val="hybridMultilevel"/>
    <w:lvl w:ilvl="0">
      <w:lvlJc w:val="left"/>
      <w:lvlText w:val="%1."/>
      <w:numFmt w:val="decimal"/>
      <w:start w:val="9"/>
    </w:lvl>
  </w:abstractNum>
  <w:abstractNum w:abstractNumId="47">
    <w:nsid w:val="1CF10FD8"/>
    <w:multiLevelType w:val="hybridMultilevel"/>
    <w:lvl w:ilvl="0">
      <w:lvlJc w:val="left"/>
      <w:lvlText w:val="(%1)"/>
      <w:numFmt w:val="lowerLetter"/>
      <w:start w:val="2"/>
    </w:lvl>
  </w:abstractNum>
  <w:abstractNum w:abstractNumId="48">
    <w:nsid w:val="180115BE"/>
    <w:multiLevelType w:val="hybridMultilevel"/>
    <w:lvl w:ilvl="0">
      <w:lvlJc w:val="left"/>
      <w:lvlText w:val="(%1)"/>
      <w:numFmt w:val="lowerLetter"/>
      <w:start w:val="4"/>
    </w:lvl>
  </w:abstractNum>
  <w:abstractNum w:abstractNumId="49">
    <w:nsid w:val="235BA861"/>
    <w:multiLevelType w:val="hybridMultilevel"/>
    <w:lvl w:ilvl="0">
      <w:lvlJc w:val="left"/>
      <w:lvlText w:val="(%1)"/>
      <w:numFmt w:val="lowerLetter"/>
      <w:start w:val="5"/>
    </w:lvl>
  </w:abstractNum>
  <w:abstractNum w:abstractNumId="50">
    <w:nsid w:val="47398C89"/>
    <w:multiLevelType w:val="hybridMultilevel"/>
    <w:lvl w:ilvl="0">
      <w:lvlJc w:val="left"/>
      <w:lvlText w:val="%1."/>
      <w:numFmt w:val="decimal"/>
      <w:start w:val="10"/>
    </w:lvl>
  </w:abstractNum>
  <w:abstractNum w:abstractNumId="51">
    <w:nsid w:val="354FE9F9"/>
    <w:multiLevelType w:val="hybridMultilevel"/>
    <w:lvl w:ilvl="0">
      <w:lvlJc w:val="left"/>
      <w:lvlText w:val="(%1)"/>
      <w:numFmt w:val="lowerLetter"/>
      <w:start w:val="2"/>
    </w:lvl>
  </w:abstractNum>
  <w:abstractNum w:abstractNumId="52">
    <w:nsid w:val="15B5AF5C"/>
    <w:multiLevelType w:val="hybridMultilevel"/>
    <w:lvl w:ilvl="0">
      <w:lvlJc w:val="left"/>
      <w:lvlText w:val="%1."/>
      <w:numFmt w:val="decimal"/>
      <w:start w:val="11"/>
    </w:lvl>
  </w:abstractNum>
  <w:abstractNum w:abstractNumId="53">
    <w:nsid w:val="741226BB"/>
    <w:multiLevelType w:val="hybridMultilevel"/>
    <w:lvl w:ilvl="0">
      <w:lvlJc w:val="left"/>
      <w:lvlText w:val="%1."/>
      <w:numFmt w:val="decimal"/>
      <w:start w:val="13"/>
    </w:lvl>
  </w:abstractNum>
  <w:abstractNum w:abstractNumId="54">
    <w:nsid w:val="D34B6A8"/>
    <w:multiLevelType w:val="hybridMultilevel"/>
    <w:lvl w:ilvl="0">
      <w:lvlJc w:val="left"/>
      <w:lvlText w:val="%1."/>
      <w:numFmt w:val="decimal"/>
      <w:start w:val="14"/>
    </w:lvl>
  </w:abstractNum>
  <w:abstractNum w:abstractNumId="55">
    <w:nsid w:val="10233C99"/>
    <w:multiLevelType w:val="hybridMultilevel"/>
    <w:lvl w:ilvl="0">
      <w:lvlJc w:val="left"/>
      <w:lvlText w:val="%1."/>
      <w:numFmt w:val="decimal"/>
      <w:start w:val="17"/>
    </w:lvl>
  </w:abstractNum>
  <w:abstractNum w:abstractNumId="56">
    <w:nsid w:val="3F6AB60F"/>
    <w:multiLevelType w:val="hybridMultilevel"/>
    <w:lvl w:ilvl="0">
      <w:lvlJc w:val="left"/>
      <w:lvlText w:val="%1."/>
      <w:numFmt w:val="decimal"/>
      <w:start w:val="22"/>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lowerRoman"/>
      <w:start w:val="1"/>
    </w:lvl>
  </w:abstractNum>
  <w:abstractNum w:abstractNumId="59">
    <w:nsid w:val="77AE35EB"/>
    <w:multiLevelType w:val="hybridMultilevel"/>
    <w:lvl w:ilvl="0">
      <w:lvlJc w:val="left"/>
      <w:lvlText w:val="%1."/>
      <w:numFmt w:val="decimal"/>
      <w:start w:val="23"/>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7" Type="http://schemas.openxmlformats.org/officeDocument/2006/relationships/image" Target="media/image23.png"/><Relationship Id="rId66" Type="http://schemas.openxmlformats.org/officeDocument/2006/relationships/image" Target="media/image24.png"/><Relationship Id="rId67" Type="http://schemas.openxmlformats.org/officeDocument/2006/relationships/image" Target="media/image25.png"/><Relationship Id="rId68" Type="http://schemas.openxmlformats.org/officeDocument/2006/relationships/image" Target="media/image26.png"/><Relationship Id="rId69" Type="http://schemas.openxmlformats.org/officeDocument/2006/relationships/image" Target="media/image27.png"/><Relationship Id="rId70" Type="http://schemas.openxmlformats.org/officeDocument/2006/relationships/image" Target="media/image28.png"/><Relationship Id="rId71" Type="http://schemas.openxmlformats.org/officeDocument/2006/relationships/image" Target="media/image29.png"/><Relationship Id="rId72" Type="http://schemas.openxmlformats.org/officeDocument/2006/relationships/image" Target="media/image30.png"/><Relationship Id="rId73" Type="http://schemas.openxmlformats.org/officeDocument/2006/relationships/image" Target="media/image31.png"/><Relationship Id="rId74" Type="http://schemas.openxmlformats.org/officeDocument/2006/relationships/image" Target="media/image32.png"/><Relationship Id="rId75" Type="http://schemas.openxmlformats.org/officeDocument/2006/relationships/image" Target="media/image33.png"/><Relationship Id="rId76" Type="http://schemas.openxmlformats.org/officeDocument/2006/relationships/image" Target="media/image34.png"/><Relationship Id="rId77" Type="http://schemas.openxmlformats.org/officeDocument/2006/relationships/image" Target="media/image35.png"/><Relationship Id="rId78" Type="http://schemas.openxmlformats.org/officeDocument/2006/relationships/image" Target="media/image36.png"/><Relationship Id="rId79" Type="http://schemas.openxmlformats.org/officeDocument/2006/relationships/image" Target="media/image37.png"/><Relationship Id="rId80" Type="http://schemas.openxmlformats.org/officeDocument/2006/relationships/image" Target="media/image38.png"/><Relationship Id="rId81" Type="http://schemas.openxmlformats.org/officeDocument/2006/relationships/image" Target="media/image39.png"/><Relationship Id="rId82" Type="http://schemas.openxmlformats.org/officeDocument/2006/relationships/image" Target="media/image40.png"/><Relationship Id="rId83" Type="http://schemas.openxmlformats.org/officeDocument/2006/relationships/image" Target="media/image41.png"/><Relationship Id="rId84" Type="http://schemas.openxmlformats.org/officeDocument/2006/relationships/image" Target="media/image42.png"/><Relationship Id="rId85" Type="http://schemas.openxmlformats.org/officeDocument/2006/relationships/image" Target="media/image43.png"/><Relationship Id="rId86" Type="http://schemas.openxmlformats.org/officeDocument/2006/relationships/image" Target="media/image44.png"/><Relationship Id="rId87" Type="http://schemas.openxmlformats.org/officeDocument/2006/relationships/image" Target="media/image45.png"/><Relationship Id="rId88" Type="http://schemas.openxmlformats.org/officeDocument/2006/relationships/image" Target="media/image46.png"/><Relationship Id="rId89" Type="http://schemas.openxmlformats.org/officeDocument/2006/relationships/image" Target="media/image47.png"/><Relationship Id="rId90" Type="http://schemas.openxmlformats.org/officeDocument/2006/relationships/image" Target="media/image48.png"/><Relationship Id="rId91" Type="http://schemas.openxmlformats.org/officeDocument/2006/relationships/image" Target="media/image49.png"/><Relationship Id="rId92" Type="http://schemas.openxmlformats.org/officeDocument/2006/relationships/image" Target="media/image50.png"/><Relationship Id="rId93" Type="http://schemas.openxmlformats.org/officeDocument/2006/relationships/image" Target="media/image51.png"/><Relationship Id="rId94" Type="http://schemas.openxmlformats.org/officeDocument/2006/relationships/image" Target="media/image52.png"/><Relationship Id="rId95"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98" Type="http://schemas.openxmlformats.org/officeDocument/2006/relationships/image" Target="media/image56.png"/><Relationship Id="rId99" Type="http://schemas.openxmlformats.org/officeDocument/2006/relationships/image" Target="media/image57.png"/><Relationship Id="rId100"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30" Type="http://schemas.openxmlformats.org/officeDocument/2006/relationships/hyperlink" Target="http://www.sec.gov/Archives/edgar/data/1791706/000104746920004077/a2241802zex-3_1.htm" TargetMode="External"/><Relationship Id="rId31" Type="http://schemas.openxmlformats.org/officeDocument/2006/relationships/hyperlink" Target="http://www.sec.gov/Archives/edgar/data/1791706/000104746920004077/a2241802zex-3_2.htm" TargetMode="External"/><Relationship Id="rId32" Type="http://schemas.openxmlformats.org/officeDocument/2006/relationships/hyperlink" Target="http://www.sec.gov/Archives/edgar/data/1791706/000104746920004236/a2242062zex-4_3.htm" TargetMode="External"/><Relationship Id="rId33" Type="http://schemas.openxmlformats.org/officeDocument/2006/relationships/hyperlink" Target="http://www.sec.gov/Archives/edgar/data/1791706/000104746920004236/a2242062zex-4_2.htm" TargetMode="External"/><Relationship Id="rId34" Type="http://schemas.openxmlformats.org/officeDocument/2006/relationships/hyperlink" Target="http://www.sec.gov/Archives/edgar/data/1791706/000104746920004077/a2241802zex-4_4.htm" TargetMode="External"/><Relationship Id="rId35" Type="http://schemas.openxmlformats.org/officeDocument/2006/relationships/hyperlink" Target="http://www.sec.gov/Archives/edgar/data/1791706/000104746920004236/a2242062zex-4_5.htm" TargetMode="External"/><Relationship Id="rId36" Type="http://schemas.openxmlformats.org/officeDocument/2006/relationships/hyperlink" Target="http://www.sec.gov/Archives/edgar/data/1791706/000104746920004077/a2241802zex-5_1.htm" TargetMode="External"/><Relationship Id="rId37" Type="http://schemas.openxmlformats.org/officeDocument/2006/relationships/hyperlink" Target="http://www.sec.gov/Archives/edgar/data/1791706/000104746920004077/a2241802zex-99_2.htm" TargetMode="External"/><Relationship Id="rId38" Type="http://schemas.openxmlformats.org/officeDocument/2006/relationships/hyperlink" Target="http://www.sec.gov/Archives/edgar/data/1791706/000104746920004077/a2241802zex-10_1.htm" TargetMode="External"/><Relationship Id="rId39" Type="http://schemas.openxmlformats.org/officeDocument/2006/relationships/hyperlink" Target="http://www.sec.gov/Archives/edgar/data/1791706/000104746920004077/a2241802zex-10_2.htm" TargetMode="External"/><Relationship Id="rId40" Type="http://schemas.openxmlformats.org/officeDocument/2006/relationships/hyperlink" Target="http://www.sec.gov/Archives/edgar/data/1791706/000104746920004077/a2241802zex-10_3.htm" TargetMode="External"/><Relationship Id="rId41" Type="http://schemas.openxmlformats.org/officeDocument/2006/relationships/hyperlink" Target="http://www.sec.gov/Archives/edgar/data/1791706/000104746920004077/a2241802zex-10_4.htm" TargetMode="External"/><Relationship Id="rId42" Type="http://schemas.openxmlformats.org/officeDocument/2006/relationships/hyperlink" Target="http://www.sec.gov/Archives/edgar/data/1791706/000104746920004077/a2241802zex-10_5.htm" TargetMode="External"/><Relationship Id="rId43" Type="http://schemas.openxmlformats.org/officeDocument/2006/relationships/hyperlink" Target="http://www.sec.gov/Archives/edgar/data/1791706/000104746920004077/a2241802zex-10_6.htm" TargetMode="External"/><Relationship Id="rId44" Type="http://schemas.openxmlformats.org/officeDocument/2006/relationships/hyperlink" Target="http://www.sec.gov/Archives/edgar/data/1791706/000104746920004077/a2241802zex-10_7.htm" TargetMode="External"/><Relationship Id="rId45" Type="http://schemas.openxmlformats.org/officeDocument/2006/relationships/hyperlink" Target="http://www.sec.gov/Archives/edgar/data/1791706/000104746920004077/a2241802zex-10_8.htm" TargetMode="External"/><Relationship Id="rId46" Type="http://schemas.openxmlformats.org/officeDocument/2006/relationships/hyperlink" Target="http://www.sec.gov/Archives/edgar/data/1791706/000104746920004077/a2241802zex-10_9.htm" TargetMode="External"/><Relationship Id="rId48" Type="http://schemas.openxmlformats.org/officeDocument/2006/relationships/hyperlink" Target="http://www.sec.gov/Archives/edgar/data/1791706/000104746920004077/a2241802zex-10_10.htm" TargetMode="External"/><Relationship Id="rId49" Type="http://schemas.openxmlformats.org/officeDocument/2006/relationships/hyperlink" Target="http://www.sec.gov/Archives/edgar/data/1791706/000104746920004077/a2241802zex-10_11.htm" TargetMode="External"/><Relationship Id="rId50" Type="http://schemas.openxmlformats.org/officeDocument/2006/relationships/hyperlink" Target="http://www.sec.gov/Archives/edgar/data/1791706/000104746920004077/a2241802zex-10_12.htm" TargetMode="External"/><Relationship Id="rId51" Type="http://schemas.openxmlformats.org/officeDocument/2006/relationships/hyperlink" Target="http://www.sec.gov/Archives/edgar/data/1791706/000104746920004077/a2241802zex-10_13.htm" TargetMode="External"/><Relationship Id="rId52" Type="http://schemas.openxmlformats.org/officeDocument/2006/relationships/hyperlink" Target="http://www.sec.gov/Archives/edgar/data/1791706/000104746920004077/a2241802zex-10_14.htm" TargetMode="External"/><Relationship Id="rId53" Type="http://schemas.openxmlformats.org/officeDocument/2006/relationships/hyperlink" Target="http://www.sec.gov/Archives/edgar/data/1791706/000104746920004077/a2241802zex-10_15.htm" TargetMode="External"/><Relationship Id="rId54" Type="http://schemas.openxmlformats.org/officeDocument/2006/relationships/hyperlink" Target="http://www.sec.gov/Archives/edgar/data/1791706/000104746920004077/a2241802zex-10_16.htm" TargetMode="External"/><Relationship Id="rId55" Type="http://schemas.openxmlformats.org/officeDocument/2006/relationships/hyperlink" Target="http://www.sec.gov/Archives/edgar/data/1791706/000104746920004077/a2241802zex-10_17.htm" TargetMode="External"/><Relationship Id="rId56" Type="http://schemas.openxmlformats.org/officeDocument/2006/relationships/hyperlink" Target="http://www.sec.gov/Archives/edgar/data/1791706/000104746920004236/a2242062zex-10_18.htm" TargetMode="External"/><Relationship Id="rId57" Type="http://schemas.openxmlformats.org/officeDocument/2006/relationships/hyperlink" Target="http://www.sec.gov/Archives/edgar/data/1791706/000104746920004236/a2242062zex-10_19.htm" TargetMode="External"/><Relationship Id="rId58" Type="http://schemas.openxmlformats.org/officeDocument/2006/relationships/hyperlink" Target="http://www.sec.gov/Archives/edgar/data/1791706/000104746920004236/a2242062zex-10_20.htm" TargetMode="External"/><Relationship Id="rId59" Type="http://schemas.openxmlformats.org/officeDocument/2006/relationships/hyperlink" Target="http://www.sec.gov/Archives/edgar/data/1791706/000104746920004236/a2242062zex-10_21.htm" TargetMode="External"/><Relationship Id="rId60" Type="http://schemas.openxmlformats.org/officeDocument/2006/relationships/hyperlink" Target="http://www.sec.gov/Archives/edgar/data/1791706/000104746920004077/a2241802zex-21_1.htm" TargetMode="External"/><Relationship Id="rId61" Type="http://schemas.openxmlformats.org/officeDocument/2006/relationships/hyperlink" Target="http://www.sec.gov/Archives/edgar/data/1791706/000104746920004236/a2242062zex-23_1.htm" TargetMode="External"/><Relationship Id="rId62" Type="http://schemas.openxmlformats.org/officeDocument/2006/relationships/hyperlink" Target="http://www.sec.gov/Archives/edgar/data/1791706/000104746920004077/a2241802zex-23_4.htm" TargetMode="External"/><Relationship Id="rId63" Type="http://schemas.openxmlformats.org/officeDocument/2006/relationships/hyperlink" Target="http://www.sec.gov/Archives/edgar/data/1791706/000104746920004077/a2241802zf-1.htm#sig" TargetMode="External"/><Relationship Id="rId64" Type="http://schemas.openxmlformats.org/officeDocument/2006/relationships/hyperlink" Target="http://www.sec.gov/Archives/edgar/data/1791706/000104746920004077/a2241802zex-99_1.htm" TargetMode="External"/><Relationship Id="rId65" Type="http://schemas.openxmlformats.org/officeDocument/2006/relationships/hyperlink" Target="http://www.sec.gov/Archives/edgar/data/1791706/000104746920004077/a2241802zex-99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2020-07-27T12:51:55Z</dcterms:created>
  <dcterms:modified xsi:type="dcterms:W3CDTF">2020-07-27T12:51:55Z</dcterms:modified>
</cp:coreProperties>
</file>