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10.jpeg" ContentType="image/jpeg"/>
  <Override PartName="/word/media/image6.jpeg" ContentType="image/jpeg"/>
  <Override PartName="/word/media/image11.jpeg" ContentType="image/jpeg"/>
  <Override PartName="/word/media/image7.jpeg" ContentType="image/jpeg"/>
  <Override PartName="/word/media/image12.jpeg" ContentType="image/jpeg"/>
  <Override PartName="/word/media/image8.jpeg" ContentType="image/jpeg"/>
  <Override PartName="/word/media/image13.jpeg" ContentType="image/jpeg"/>
  <Override PartName="/word/media/image9.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621849d1_6k.htm"/>
      <w:bookmarkStart w:id="1" w:name="kstm2621849d1_6k"/>
      <w:bookmarkEnd w:id="0"/>
      <w:bookmarkEnd w:id="1"/>
      <w:r>
        <w:rPr/>
        <w:t> </w:t>
      </w:r>
    </w:p>
    <w:p>
      <w:pPr>
        <w:pStyle w:val="TextBody"/>
        <w:bidi w:val="0"/>
        <w:jc w:val="left"/>
        <w:rPr>
          <w:bdr w:val="single" w:sz="16" w:space="1" w:color="000000"/>
        </w:rPr>
      </w:pPr>
      <w:r>
        <w:rPr>
          <w:bdr w:val="single" w:sz="16" w:space="1" w:color="000000"/>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6-K</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13a-16 OR 15d-16 UNDER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month of August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001-39407</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Li Auto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Name)</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 Wenliang Street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Shunyi District, Beijing 101399</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People’s Republic of China</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Form 20-F or Form 40-F.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INDEX</w:t>
      </w:r>
    </w:p>
    <w:p>
      <w:pPr>
        <w:pStyle w:val="TextBody"/>
        <w:bidi w:val="0"/>
        <w:spacing w:before="0" w:after="0"/>
        <w:ind w:left="0" w:right="0" w:hanging="0"/>
        <w:jc w:val="left"/>
        <w:rPr>
          <w:caps w:val="false"/>
          <w:smallCaps w:val="false"/>
        </w:rPr>
      </w:pPr>
      <w:r>
        <w:rPr>
          <w:caps w:val="false"/>
          <w:smallCaps w:val="false"/>
        </w:rPr>
        <w:t> </w:t>
      </w:r>
    </w:p>
    <w:tbl>
      <w:tblPr>
        <w:tblW w:w="5215" w:type="dxa"/>
        <w:jc w:val="left"/>
        <w:tblInd w:w="0" w:type="dxa"/>
        <w:tblLayout w:type="fixed"/>
        <w:tblCellMar>
          <w:top w:w="0" w:type="dxa"/>
          <w:left w:w="0" w:type="dxa"/>
          <w:bottom w:w="28" w:type="dxa"/>
          <w:right w:w="0" w:type="dxa"/>
        </w:tblCellMar>
      </w:tblPr>
      <w:tblGrid>
        <w:gridCol w:w="1205"/>
        <w:gridCol w:w="60"/>
        <w:gridCol w:w="3950"/>
      </w:tblGrid>
      <w:tr>
        <w:trPr/>
        <w:tc>
          <w:tcPr>
            <w:tcW w:w="1205" w:type="dxa"/>
            <w:tcBorders>
              <w:bottom w:val="single" w:sz="8" w:space="0" w:color="000000"/>
            </w:tcBorders>
            <w:vAlign w:val="center"/>
          </w:tcPr>
          <w:p>
            <w:pPr>
              <w:pStyle w:val="TableContents"/>
              <w:bidi w:val="0"/>
              <w:spacing w:before="0" w:after="283"/>
              <w:jc w:val="center"/>
              <w:rPr>
                <w:b/>
              </w:rPr>
            </w:pPr>
            <w:r>
              <w:rPr>
                <w:b/>
              </w:rPr>
              <w:t>Exhibit No.</w:t>
            </w:r>
          </w:p>
        </w:tc>
        <w:tc>
          <w:tcPr>
            <w:tcW w:w="60" w:type="dxa"/>
            <w:tcBorders/>
            <w:tcMar>
              <w:bottom w:w="0" w:type="dxa"/>
            </w:tcMar>
            <w:vAlign w:val="center"/>
          </w:tcPr>
          <w:p>
            <w:pPr>
              <w:pStyle w:val="TableContents"/>
              <w:bidi w:val="0"/>
              <w:spacing w:before="0" w:after="283"/>
              <w:jc w:val="left"/>
              <w:rPr/>
            </w:pPr>
            <w:r>
              <w:rPr/>
              <w:t> </w:t>
            </w:r>
          </w:p>
        </w:tc>
        <w:tc>
          <w:tcPr>
            <w:tcW w:w="3950" w:type="dxa"/>
            <w:tcBorders>
              <w:bottom w:val="single" w:sz="8" w:space="0" w:color="000000"/>
            </w:tcBorders>
            <w:vAlign w:val="center"/>
          </w:tcPr>
          <w:p>
            <w:pPr>
              <w:pStyle w:val="TableContents"/>
              <w:bidi w:val="0"/>
              <w:spacing w:before="0" w:after="283"/>
              <w:jc w:val="center"/>
              <w:rPr>
                <w:b/>
              </w:rPr>
            </w:pPr>
            <w:r>
              <w:rPr>
                <w:b/>
              </w:rPr>
              <w:t>Description</w:t>
            </w:r>
          </w:p>
        </w:tc>
      </w:tr>
      <w:tr>
        <w:trPr/>
        <w:tc>
          <w:tcPr>
            <w:tcW w:w="1205" w:type="dxa"/>
            <w:tcBorders/>
            <w:tcMar>
              <w:bottom w:w="0" w:type="dxa"/>
            </w:tcMar>
            <w:vAlign w:val="center"/>
          </w:tcPr>
          <w:p>
            <w:pPr>
              <w:pStyle w:val="TableContents"/>
              <w:bidi w:val="0"/>
              <w:spacing w:before="0" w:after="283"/>
              <w:jc w:val="center"/>
              <w:rPr/>
            </w:pPr>
            <w:hyperlink w:anchor="tm2621849d1_ex99-1.htm">
              <w:r>
                <w:rPr>
                  <w:rStyle w:val="InternetLink"/>
                  <w:rFonts w:ascii="Times New Roman;Times;Serif" w:hAnsi="Times New Roman;Times;Serif"/>
                  <w:sz w:val="20"/>
                </w:rPr>
                <w:t>99.1</w:t>
              </w:r>
            </w:hyperlink>
          </w:p>
        </w:tc>
        <w:tc>
          <w:tcPr>
            <w:tcW w:w="60" w:type="dxa"/>
            <w:tcBorders/>
            <w:tcMar>
              <w:bottom w:w="0" w:type="dxa"/>
            </w:tcMar>
            <w:vAlign w:val="center"/>
          </w:tcPr>
          <w:p>
            <w:pPr>
              <w:pStyle w:val="TableContents"/>
              <w:bidi w:val="0"/>
              <w:spacing w:before="0" w:after="283"/>
              <w:jc w:val="left"/>
              <w:rPr/>
            </w:pPr>
            <w:r>
              <w:rPr/>
              <w:t> </w:t>
            </w:r>
          </w:p>
        </w:tc>
        <w:tc>
          <w:tcPr>
            <w:tcW w:w="3950" w:type="dxa"/>
            <w:tcBorders/>
            <w:tcMar>
              <w:bottom w:w="0" w:type="dxa"/>
            </w:tcMar>
            <w:vAlign w:val="center"/>
          </w:tcPr>
          <w:p>
            <w:pPr>
              <w:pStyle w:val="TableContents"/>
              <w:bidi w:val="0"/>
              <w:spacing w:before="0" w:after="283"/>
              <w:jc w:val="left"/>
              <w:rPr/>
            </w:pPr>
            <w:hyperlink w:anchor="tm2621849d1_ex99-1.htm">
              <w:r>
                <w:rPr>
                  <w:rStyle w:val="InternetLink"/>
                  <w:rFonts w:ascii="Times New Roman;Times;Serif" w:hAnsi="Times New Roman;Times;Serif"/>
                  <w:sz w:val="20"/>
                </w:rPr>
                <w:t>Next Day Disclosure Return dated July 27, 2026</w:t>
              </w:r>
            </w:hyperlink>
          </w:p>
        </w:tc>
      </w:tr>
      <w:tr>
        <w:trPr/>
        <w:tc>
          <w:tcPr>
            <w:tcW w:w="1205" w:type="dxa"/>
            <w:tcBorders/>
            <w:tcMar>
              <w:bottom w:w="0" w:type="dxa"/>
            </w:tcMar>
            <w:vAlign w:val="center"/>
          </w:tcPr>
          <w:p>
            <w:pPr>
              <w:pStyle w:val="TableContents"/>
              <w:bidi w:val="0"/>
              <w:spacing w:before="0" w:after="283"/>
              <w:jc w:val="center"/>
              <w:rPr/>
            </w:pPr>
            <w:hyperlink w:anchor="tm2621849d1_ex99-2.htm">
              <w:r>
                <w:rPr>
                  <w:rStyle w:val="InternetLink"/>
                  <w:rFonts w:ascii="Times New Roman;Times;Serif" w:hAnsi="Times New Roman;Times;Serif"/>
                  <w:sz w:val="20"/>
                </w:rPr>
                <w:t>99.2</w:t>
              </w:r>
            </w:hyperlink>
          </w:p>
        </w:tc>
        <w:tc>
          <w:tcPr>
            <w:tcW w:w="60" w:type="dxa"/>
            <w:tcBorders/>
            <w:tcMar>
              <w:bottom w:w="0" w:type="dxa"/>
            </w:tcMar>
            <w:vAlign w:val="center"/>
          </w:tcPr>
          <w:p>
            <w:pPr>
              <w:pStyle w:val="TableContents"/>
              <w:bidi w:val="0"/>
              <w:spacing w:before="0" w:after="283"/>
              <w:jc w:val="left"/>
              <w:rPr/>
            </w:pPr>
            <w:r>
              <w:rPr/>
              <w:t> </w:t>
            </w:r>
          </w:p>
        </w:tc>
        <w:tc>
          <w:tcPr>
            <w:tcW w:w="3950" w:type="dxa"/>
            <w:tcBorders/>
            <w:tcMar>
              <w:bottom w:w="0" w:type="dxa"/>
            </w:tcMar>
            <w:vAlign w:val="center"/>
          </w:tcPr>
          <w:p>
            <w:pPr>
              <w:pStyle w:val="TableContents"/>
              <w:bidi w:val="0"/>
              <w:spacing w:before="0" w:after="283"/>
              <w:jc w:val="left"/>
              <w:rPr/>
            </w:pPr>
            <w:hyperlink w:anchor="tm2621849d1_ex99-2.htm">
              <w:r>
                <w:rPr>
                  <w:rStyle w:val="InternetLink"/>
                  <w:rFonts w:ascii="Times New Roman;Times;Serif" w:hAnsi="Times New Roman;Times;Serif"/>
                  <w:sz w:val="20"/>
                </w:rPr>
                <w:t>Next Day Disclosure Return dated July 28, 2026</w:t>
              </w:r>
            </w:hyperlink>
          </w:p>
        </w:tc>
      </w:tr>
      <w:tr>
        <w:trPr/>
        <w:tc>
          <w:tcPr>
            <w:tcW w:w="1205" w:type="dxa"/>
            <w:tcBorders/>
            <w:tcMar>
              <w:bottom w:w="0" w:type="dxa"/>
            </w:tcMar>
            <w:vAlign w:val="center"/>
          </w:tcPr>
          <w:p>
            <w:pPr>
              <w:pStyle w:val="TableContents"/>
              <w:bidi w:val="0"/>
              <w:spacing w:before="0" w:after="283"/>
              <w:jc w:val="center"/>
              <w:rPr/>
            </w:pPr>
            <w:hyperlink w:anchor="tm2621849d1_ex99-3.htm">
              <w:r>
                <w:rPr>
                  <w:rStyle w:val="InternetLink"/>
                  <w:rFonts w:ascii="Times New Roman;Times;Serif" w:hAnsi="Times New Roman;Times;Serif"/>
                  <w:sz w:val="20"/>
                </w:rPr>
                <w:t>99.3</w:t>
              </w:r>
            </w:hyperlink>
          </w:p>
        </w:tc>
        <w:tc>
          <w:tcPr>
            <w:tcW w:w="60" w:type="dxa"/>
            <w:tcBorders/>
            <w:tcMar>
              <w:bottom w:w="0" w:type="dxa"/>
            </w:tcMar>
            <w:vAlign w:val="center"/>
          </w:tcPr>
          <w:p>
            <w:pPr>
              <w:pStyle w:val="TableContents"/>
              <w:bidi w:val="0"/>
              <w:spacing w:before="0" w:after="283"/>
              <w:jc w:val="left"/>
              <w:rPr/>
            </w:pPr>
            <w:r>
              <w:rPr/>
              <w:t> </w:t>
            </w:r>
          </w:p>
        </w:tc>
        <w:tc>
          <w:tcPr>
            <w:tcW w:w="3950" w:type="dxa"/>
            <w:tcBorders/>
            <w:tcMar>
              <w:bottom w:w="0" w:type="dxa"/>
            </w:tcMar>
            <w:vAlign w:val="center"/>
          </w:tcPr>
          <w:p>
            <w:pPr>
              <w:pStyle w:val="TableContents"/>
              <w:bidi w:val="0"/>
              <w:spacing w:before="0" w:after="283"/>
              <w:jc w:val="left"/>
              <w:rPr/>
            </w:pPr>
            <w:hyperlink w:anchor="tm2621849d1_ex99-3.htm">
              <w:r>
                <w:rPr>
                  <w:rStyle w:val="InternetLink"/>
                  <w:rFonts w:ascii="Times New Roman;Times;Serif" w:hAnsi="Times New Roman;Times;Serif"/>
                  <w:sz w:val="20"/>
                </w:rPr>
                <w:t>Next Day Disclosure Return dated July 29, 2026</w:t>
              </w:r>
            </w:hyperlink>
          </w:p>
        </w:tc>
      </w:tr>
      <w:tr>
        <w:trPr/>
        <w:tc>
          <w:tcPr>
            <w:tcW w:w="1205" w:type="dxa"/>
            <w:tcBorders/>
            <w:tcMar>
              <w:bottom w:w="0" w:type="dxa"/>
            </w:tcMar>
            <w:vAlign w:val="center"/>
          </w:tcPr>
          <w:p>
            <w:pPr>
              <w:pStyle w:val="TableContents"/>
              <w:bidi w:val="0"/>
              <w:spacing w:before="0" w:after="283"/>
              <w:jc w:val="center"/>
              <w:rPr/>
            </w:pPr>
            <w:hyperlink w:anchor="tm2621849d1_ex99-4.htm">
              <w:r>
                <w:rPr>
                  <w:rStyle w:val="InternetLink"/>
                  <w:rFonts w:ascii="Times New Roman;Times;Serif" w:hAnsi="Times New Roman;Times;Serif"/>
                  <w:sz w:val="20"/>
                </w:rPr>
                <w:t>99.4</w:t>
              </w:r>
            </w:hyperlink>
          </w:p>
        </w:tc>
        <w:tc>
          <w:tcPr>
            <w:tcW w:w="60" w:type="dxa"/>
            <w:tcBorders/>
            <w:tcMar>
              <w:bottom w:w="0" w:type="dxa"/>
            </w:tcMar>
            <w:vAlign w:val="center"/>
          </w:tcPr>
          <w:p>
            <w:pPr>
              <w:pStyle w:val="TableContents"/>
              <w:bidi w:val="0"/>
              <w:spacing w:before="0" w:after="283"/>
              <w:jc w:val="left"/>
              <w:rPr/>
            </w:pPr>
            <w:r>
              <w:rPr/>
              <w:t> </w:t>
            </w:r>
          </w:p>
        </w:tc>
        <w:tc>
          <w:tcPr>
            <w:tcW w:w="3950" w:type="dxa"/>
            <w:tcBorders/>
            <w:tcMar>
              <w:bottom w:w="0" w:type="dxa"/>
            </w:tcMar>
            <w:vAlign w:val="center"/>
          </w:tcPr>
          <w:p>
            <w:pPr>
              <w:pStyle w:val="TableContents"/>
              <w:bidi w:val="0"/>
              <w:spacing w:before="0" w:after="283"/>
              <w:jc w:val="left"/>
              <w:rPr/>
            </w:pPr>
            <w:hyperlink w:anchor="tm2621849d1_ex99-4.htm">
              <w:r>
                <w:rPr>
                  <w:rStyle w:val="InternetLink"/>
                  <w:rFonts w:ascii="Times New Roman;Times;Serif" w:hAnsi="Times New Roman;Times;Serif"/>
                  <w:sz w:val="20"/>
                </w:rPr>
                <w:t>Next Day Disclosure Return dated July 31, 2026</w:t>
              </w:r>
            </w:hyperlink>
          </w:p>
        </w:tc>
      </w:tr>
      <w:tr>
        <w:trPr/>
        <w:tc>
          <w:tcPr>
            <w:tcW w:w="1205" w:type="dxa"/>
            <w:tcBorders/>
            <w:tcMar>
              <w:bottom w:w="0" w:type="dxa"/>
            </w:tcMar>
            <w:vAlign w:val="center"/>
          </w:tcPr>
          <w:p>
            <w:pPr>
              <w:pStyle w:val="TableContents"/>
              <w:bidi w:val="0"/>
              <w:spacing w:before="0" w:after="283"/>
              <w:jc w:val="center"/>
              <w:rPr/>
            </w:pPr>
            <w:hyperlink w:anchor="tm2621849d1_ex99-5.htm">
              <w:r>
                <w:rPr>
                  <w:rStyle w:val="InternetLink"/>
                  <w:rFonts w:ascii="Times New Roman;Times;Serif" w:hAnsi="Times New Roman;Times;Serif"/>
                  <w:sz w:val="20"/>
                </w:rPr>
                <w:t>99.5</w:t>
              </w:r>
            </w:hyperlink>
          </w:p>
        </w:tc>
        <w:tc>
          <w:tcPr>
            <w:tcW w:w="60" w:type="dxa"/>
            <w:tcBorders/>
            <w:tcMar>
              <w:bottom w:w="0" w:type="dxa"/>
            </w:tcMar>
            <w:vAlign w:val="center"/>
          </w:tcPr>
          <w:p>
            <w:pPr>
              <w:pStyle w:val="TableContents"/>
              <w:bidi w:val="0"/>
              <w:spacing w:before="0" w:after="283"/>
              <w:jc w:val="left"/>
              <w:rPr/>
            </w:pPr>
            <w:r>
              <w:rPr/>
              <w:t> </w:t>
            </w:r>
          </w:p>
        </w:tc>
        <w:tc>
          <w:tcPr>
            <w:tcW w:w="3950" w:type="dxa"/>
            <w:tcBorders/>
            <w:tcMar>
              <w:bottom w:w="0" w:type="dxa"/>
            </w:tcMar>
            <w:vAlign w:val="center"/>
          </w:tcPr>
          <w:p>
            <w:pPr>
              <w:pStyle w:val="TableContents"/>
              <w:bidi w:val="0"/>
              <w:spacing w:before="0" w:after="283"/>
              <w:jc w:val="left"/>
              <w:rPr/>
            </w:pPr>
            <w:hyperlink w:anchor="tm2621849d1_ex99-5.htm">
              <w:r>
                <w:rPr>
                  <w:rStyle w:val="InternetLink"/>
                  <w:rFonts w:ascii="Times New Roman;Times;Serif" w:hAnsi="Times New Roman;Times;Serif"/>
                  <w:sz w:val="20"/>
                </w:rPr>
                <w:t>Next Day Disclosure Return dated July 31, 2026</w:t>
              </w:r>
            </w:hyperlink>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1318" w:type="dxa"/>
        <w:jc w:val="left"/>
        <w:tblInd w:w="0" w:type="dxa"/>
        <w:tblLayout w:type="fixed"/>
        <w:tblCellMar>
          <w:top w:w="0" w:type="dxa"/>
          <w:left w:w="0" w:type="dxa"/>
          <w:bottom w:w="0" w:type="dxa"/>
          <w:right w:w="0" w:type="dxa"/>
        </w:tblCellMar>
      </w:tblPr>
      <w:tblGrid>
        <w:gridCol w:w="38"/>
        <w:gridCol w:w="1280"/>
      </w:tblGrid>
      <w:tr>
        <w:trPr/>
        <w:tc>
          <w:tcPr>
            <w:tcW w:w="38" w:type="dxa"/>
            <w:tcBorders/>
            <w:vAlign w:val="center"/>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both"/>
              <w:rPr>
                <w:b/>
              </w:rPr>
            </w:pPr>
            <w:r>
              <w:rPr>
                <w:b/>
              </w:rPr>
              <w:t>Li Auto Inc.</w:t>
            </w:r>
          </w:p>
        </w:tc>
      </w:tr>
    </w:tbl>
    <w:p>
      <w:pPr>
        <w:pStyle w:val="TextBody"/>
        <w:bidi w:val="0"/>
        <w:spacing w:before="0" w:after="0"/>
        <w:ind w:left="0" w:right="0" w:hanging="0"/>
        <w:jc w:val="left"/>
        <w:rPr>
          <w:caps w:val="false"/>
          <w:smallCaps w:val="false"/>
        </w:rPr>
      </w:pPr>
      <w:r>
        <w:rPr>
          <w:caps w:val="false"/>
          <w:smallCaps w:val="false"/>
        </w:rPr>
        <w:t> </w:t>
      </w:r>
    </w:p>
    <w:tbl>
      <w:tblPr>
        <w:tblW w:w="3585" w:type="dxa"/>
        <w:jc w:val="left"/>
        <w:tblInd w:w="0" w:type="dxa"/>
        <w:tblLayout w:type="fixed"/>
        <w:tblCellMar>
          <w:top w:w="0" w:type="dxa"/>
          <w:left w:w="0" w:type="dxa"/>
          <w:bottom w:w="0" w:type="dxa"/>
          <w:right w:w="0" w:type="dxa"/>
        </w:tblCellMar>
      </w:tblPr>
      <w:tblGrid>
        <w:gridCol w:w="75"/>
        <w:gridCol w:w="485"/>
        <w:gridCol w:w="80"/>
        <w:gridCol w:w="2945"/>
      </w:tblGrid>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 </w:t>
            </w:r>
          </w:p>
        </w:tc>
        <w:tc>
          <w:tcPr>
            <w:tcW w:w="80" w:type="dxa"/>
            <w:tcBorders/>
            <w:vAlign w:val="center"/>
          </w:tcPr>
          <w:p>
            <w:pPr>
              <w:pStyle w:val="TableContents"/>
              <w:bidi w:val="0"/>
              <w:spacing w:before="0" w:after="283"/>
              <w:jc w:val="left"/>
              <w:rPr/>
            </w:pPr>
            <w:r>
              <w:rPr/>
              <w:t> </w:t>
            </w:r>
          </w:p>
        </w:tc>
        <w:tc>
          <w:tcPr>
            <w:tcW w:w="2945" w:type="dxa"/>
            <w:tcBorders>
              <w:bottom w:val="single" w:sz="8" w:space="0" w:color="000000"/>
            </w:tcBorders>
            <w:tcMar>
              <w:bottom w:w="28" w:type="dxa"/>
            </w:tcMar>
            <w:vAlign w:val="center"/>
          </w:tcPr>
          <w:p>
            <w:pPr>
              <w:pStyle w:val="TableContents"/>
              <w:bidi w:val="0"/>
              <w:spacing w:before="0" w:after="283"/>
              <w:jc w:val="left"/>
              <w:rPr/>
            </w:pPr>
            <w:r>
              <w:rPr/>
              <w:t>/s/ Tie Li</w:t>
            </w:r>
          </w:p>
        </w:tc>
      </w:tr>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29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Tie Li</w:t>
            </w:r>
          </w:p>
        </w:tc>
      </w:tr>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29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Director and Chief Financial Officer</w:t>
            </w:r>
          </w:p>
        </w:tc>
      </w:tr>
    </w:tbl>
    <w:p>
      <w:pPr>
        <w:pStyle w:val="TextBody"/>
        <w:bidi w:val="0"/>
        <w:spacing w:before="0" w:after="0"/>
        <w:ind w:left="288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August 3,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283"/>
        <w:jc w:val="left"/>
        <w:rPr/>
      </w:pPr>
      <w:r>
        <w:rPr/>
        <w:t> </w:t>
      </w:r>
    </w:p>
    <w:p>
      <w:pPr>
        <w:pStyle w:val="TextBody"/>
        <w:bidi w:val="0"/>
        <w:spacing w:before="40" w:after="40"/>
        <w:ind w:left="0" w:right="0" w:hanging="0"/>
        <w:jc w:val="right"/>
        <w:rPr>
          <w:rFonts w:ascii="Times New Roman" w:hAnsi="Times New Roman"/>
          <w:b/>
          <w:sz w:val="20"/>
        </w:rPr>
      </w:pPr>
      <w:bookmarkStart w:id="2" w:name="tm2621849d1_ex99-1.htm"/>
      <w:bookmarkStart w:id="3" w:name="kstm2621849d1_ex991"/>
      <w:bookmarkEnd w:id="2"/>
      <w:bookmarkEnd w:id="3"/>
      <w:r>
        <w:rPr>
          <w:rFonts w:ascii="Times New Roman" w:hAnsi="Times New Roman"/>
          <w:b/>
          <w:sz w:val="20"/>
        </w:rPr>
        <w:t>Exhibit 99.1</w:t>
      </w:r>
      <w:r>
        <w:br w:type="page"/>
      </w:r>
    </w:p>
    <w:tbl>
      <w:tblPr>
        <w:tblW w:w="17713" w:type="dxa"/>
        <w:jc w:val="center"/>
        <w:tblInd w:w="0" w:type="dxa"/>
        <w:tblLayout w:type="fixed"/>
        <w:tblCellMar>
          <w:top w:w="0" w:type="dxa"/>
          <w:left w:w="0" w:type="dxa"/>
          <w:bottom w:w="0" w:type="dxa"/>
          <w:right w:w="0" w:type="dxa"/>
        </w:tblCellMar>
      </w:tblPr>
      <w:tblGrid>
        <w:gridCol w:w="23"/>
        <w:gridCol w:w="17520"/>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1125200" cy="7858125"/>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1 of 5 v 1.3.0 Next Day Disclosure Return (Equity issuer - changes in issued shares or treasury shares, share buybacks and/or on-market sales of treasury shares) Instrument: Equity issuer Status: New Submission Name of Issuer: Li Auto Inc. Date Submitted: 27 July 2026 Section I must be completed by a listed issuer where there has been a change in its issued shares or treasury shares which is discloseable pursuant to rule 13.25A of the Rules Governing the Listing of Securities on The Stock Exchange of Hong Kong Limited (the “Exchange”) (the “Main Board Rules”) or rule 17.27A of the Rules Governing the Listing of Securities on GEM of the Exchange (the “GEM Rules”). Section I 1. Class of shares WVR ordinary shares Type of shares A Listed on the Exchange Yes Stock code (if listed) 02015 Description A. Changes in issued shares or treasury shares Events Changes in issued shares (excluding treasury shares) Number of issued shares (excluding treasury shares) As a % of existing number of issued shares (excluding treasury shares) before the relevant event (Note 3) Changes in treasury shares Number of treasury shares Issue/ selling price per share (Note 4) Total number of issued shares Opening balance as at (Note 1) 23 July 2026 1,737,280,093 81,045,016 1,818,325,109 1). Repurchase of shares (shares held as treasury shares) Date of changes 24 July 2026 -533,964 0.0307 % 533,964 USD 6.0857 Closing balance as at (Notes 5 and 6) 24 July 2026 1,736,746,129 81,578,980 1,818,325,109 B. Shares redeemed or repurchased for cancellation but not yet cancelled as at the closing balance date (Notes 5 and 6) Not applicable</w:t>
            </w:r>
          </w:p>
        </w:tc>
      </w:tr>
    </w:tbl>
    <w:tbl>
      <w:tblPr>
        <w:tblW w:w="17728" w:type="dxa"/>
        <w:jc w:val="center"/>
        <w:tblInd w:w="0" w:type="dxa"/>
        <w:tblLayout w:type="fixed"/>
        <w:tblCellMar>
          <w:top w:w="0" w:type="dxa"/>
          <w:left w:w="0" w:type="dxa"/>
          <w:bottom w:w="0" w:type="dxa"/>
          <w:right w:w="0" w:type="dxa"/>
        </w:tblCellMar>
      </w:tblPr>
      <w:tblGrid>
        <w:gridCol w:w="23"/>
        <w:gridCol w:w="17520"/>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1125200" cy="7858125"/>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2 of 5 v 1.3.0 Confirmation Not applicable Notes to Section I: 1. Please insert the closing balance date of the last Next Day Disclosure Return published pursuant to Main Board Rule 13.25A / GEM Rule 17.27A or Monthly Return pursuant to Main Board Rule 13.25B / GEM Rule 17.27B, whichever is the later. 2. Please set out all changes in issued shares or treasury shares requiring disclosure pursuant to Main Board Rule 13.25A / GEM Rule 17.27A together with the relevant dates of changes. Each category will need to be disclosed individually with sufficient information to enable the user to identify the relevant category in the listed issuer's Monthly Return. For example, multiple issues of shares as a result of multiple exercises of share options under the same share option scheme or of multiple conversions under the same convertible note must be aggregated and disclosed as one category. However, if the issues resulted from exercises of share options under 2 share option schemes or conversions of 2 convertible notes, these must be disclosed as 2 separate categories. 3. The percentage change in the number of issued shares (excluding treasury shares) of the listed issuer is to be calculated by reference to the opening balance of the number of issued shares (excluding treasury shares) being disclosed in this Next Day Disclosure Return. 4. In the case of a share repurchase or redemption, the “issue/ selling price per share” shall be construed as “repurchase price per share” or “redemption price per share”. Where shares have been issued/ sold/ repurchased/ redeemed at more than one price per share, a volume-weighted average price per share should be given. 5. The closing balance date is the date of the last relevant event being disclosed. 6. For repurchase or redemption of shares, disclosure is required when the relevant event has occurred (subject to the provisions of Main Board Rules 10.06(4)(a), 13.25A and 13.31 / GEM Rules 13.13(1), 17.27A and 17.35), even if the repurchased or redeemed shares have not yet been cancelled. If repurchased or redeemed shares are to be cancelled upon settlement of such repurchase or redemption after the closing balance date, they shall remain part of the issued shares as at the closing balance date in Part A. Details of these repurchased or redeemed shares shall be disclosed in Part B. 7. Items (i) to (viii) are suggested forms of confirmation. The listed issuer may amend the item(s) that is/are not applicable to meet individual cases. 8. “Identical” means in this context: - the securities are of the same nominal value with the same amount called up or paid up; - they are entitled to dividend/interest at the same rate and for the same period, so that at the next ensuing distribution, the dividend/interest payable per unit will amount to exactly the same sum (gross and net); and - they carry the same rights as to unrestricted transfer, attendance and voting at meetings and rank pari passu in all other respects.</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3 of 5 v 1.3.0 Section II must also be completed by a listed issuer where it has made a repurchase of shares which is discloseable under Main Board Rule 10.06(4)(a) / GEM Rule 13.13(1). Repurchase report Section II 1. Class of shares WVR ordinary shares Type of shares A Listed on the Exchange Yes Stock code (if listed) 02015 Description A. Repurchase report Trading date Number of shares repurchased Method of repurchase (Note 1) Repurchase price per share or highest repurchase price per share $ Lowest repurchase price per share $ Aggregate price paid $ 1). 24 July 2026 533,964 On another stock exchange Nasdaq Global Select Market USD 6.145 USD 6.03 USD 3,249,571.41 Total number of shares repurchased 533,964 Aggregate price paid $ USD 3,249,571.41 Number of shares repurchased for cancellation 0 Number of shares repurchased for holding as treasury shares 533,964 B. Additional information for issuer who has a primary listing on the Exchange 1). Date of the resolution granting the repurchase mandate 29 May 2026 2). Total number of shares which the issuer is authorised to repurchase under the repurchase mandate 214,280,424 3). Number of shares repurchased on the Exchange or another stock exchange under the repurchase mandate (a) 61,987,640 4). As a % of number of issued shares (excluding treasury shares) as at the date of the resolution granting the repurchase mandate (a) x 100 / number of issued shares (excluding treasury shares) as at the date of the resolution granting the repurchase mandate 2.8928 % 5). Moratorium period for any issue of new shares, or sale or transfer of treasury shares after the share repurchase(s) set out in Part A (Note 2) Up to 23 August 2026</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FF305 Page 4 of 5 v 1.3.0 We hereby confirm that the repurchases made on the Exchange set out in Part A above were made in accordance with the Main Board Rules and that there have been no material changes to the particulars contained in the Explanatory Statement dated 22 April 2026, which has been filed with the Exchange. We also confirm that any repurchases made on another stock exchange set out in Part A above were made in accordance with the domestic rules applying to repurchases on that other stock exchange. Notes to Section II: 1. Please state whether the repurchase was made on the Exchange, on another stock exchange (stating the name of the exchange), by private arrangement or by general offer. 2. Subject to the carve-out set out in Main Board Rule 10.06(3)(a)/ GEM Rule 13.12, an issuer may not (i) make a new issue of shares, or a sale or transfer of any treasury shares; or (ii) announce a proposed new issue of shares, or a sale or transfer of any treasury shares, for a period of 30 days after any purchase by it of shares, whether on the Exchange or otherwise, without the prior approval of the Exchange. </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5 of 5 v 1.3.0 Section III must also be completed by a listed issuer where it has made a sale of treasury shares on the Exchange or any other stock exchange on which the issuer is listed which is discloseable under Main Board Rule 10.06B / GEM Rule 13.14B. Report of on-market sale of treasury shares Not applicable Submitted by: Wang Yang (Name) Title: Joint Company Secretary (Director, Secretary or other Duly Authorised Officer)</w:t>
            </w:r>
          </w:p>
        </w:tc>
      </w:tr>
    </w:tbl>
    <w:p>
      <w:pPr>
        <w:pStyle w:val="TextBody"/>
        <w:bidi w:val="0"/>
        <w:spacing w:before="40" w:after="40"/>
        <w:ind w:left="0" w:right="0" w:hanging="0"/>
        <w:jc w:val="right"/>
        <w:rPr>
          <w:rFonts w:ascii="Times New Roman" w:hAnsi="Times New Roman"/>
          <w:b/>
          <w:sz w:val="20"/>
        </w:rPr>
      </w:pPr>
      <w:bookmarkStart w:id="4" w:name="tm2621849d1_ex99-2.htm"/>
      <w:bookmarkStart w:id="5" w:name="kstm2621849d1_ex992"/>
      <w:bookmarkEnd w:id="4"/>
      <w:bookmarkEnd w:id="5"/>
      <w:r>
        <w:rPr>
          <w:rFonts w:ascii="Times New Roman" w:hAnsi="Times New Roman"/>
          <w:b/>
          <w:sz w:val="20"/>
        </w:rPr>
        <w:t>Exhibit 99.2</w:t>
      </w:r>
      <w:r>
        <w:br w:type="page"/>
      </w:r>
    </w:p>
    <w:tbl>
      <w:tblPr>
        <w:tblW w:w="17713" w:type="dxa"/>
        <w:jc w:val="center"/>
        <w:tblInd w:w="0" w:type="dxa"/>
        <w:tblLayout w:type="fixed"/>
        <w:tblCellMar>
          <w:top w:w="0" w:type="dxa"/>
          <w:left w:w="0" w:type="dxa"/>
          <w:bottom w:w="0" w:type="dxa"/>
          <w:right w:w="0" w:type="dxa"/>
        </w:tblCellMar>
      </w:tblPr>
      <w:tblGrid>
        <w:gridCol w:w="23"/>
        <w:gridCol w:w="17520"/>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11125200" cy="7858125"/>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1 of 5 v 1.3.0 Next Day Disclosure Return (Equity issuer - changes in issued shares or treasury shares, share buybacks and/or on-market sales of treasury shares) Instrument: Equity issuer Status: New Submission Name of Issuer: Li Auto Inc. Date Submitted: 28 July 2026 Section I must be completed by a listed issuer where there has been a change in its issued shares or treasury shares which is discloseable pursuant to rule 13.25A of the Rules Governing the Listing of Securities on The Stock Exchange of Hong Kong Limited (the “Exchange”) (the “Main Board Rules”) or rule 17.27A of the Rules Governing the Listing of Securities on GEM of the Exchange (the “GEM Rules”). Section I 1. Class of shares WVR ordinary shares Type of shares A Listed on the Exchange Yes Stock code (if listed) 02015 Description A. Changes in issued shares or treasury shares Events Changes in issued shares (excluding treasury shares) Number of issued shares (excluding treasury shares) As a % of existing number of issued shares (excluding treasury shares) before the relevant event (Note 3) Changes in treasury shares Number of treasury shares Issue/ selling price per share (Note 4) Total number of issued shares Opening balance as at (Note 1) 24 July 2026 1,736,746,129 81,578,980 1,818,325,109 1). Repurchase of shares (shares held as treasury shares) Date of changes 27 July 2026 -583,762 0.0336 % 583,762 USD 6.2631 Closing balance as at (Notes 5 and 6) 27 July 2026 1,736,162,367 82,162,742 1,818,325,109 B. Shares redeemed or repurchased for cancellation but not yet cancelled as at the closing balance date (Notes 5 and 6) Not applicable</w:t>
            </w:r>
          </w:p>
        </w:tc>
      </w:tr>
    </w:tbl>
    <w:tbl>
      <w:tblPr>
        <w:tblW w:w="17728" w:type="dxa"/>
        <w:jc w:val="center"/>
        <w:tblInd w:w="0" w:type="dxa"/>
        <w:tblLayout w:type="fixed"/>
        <w:tblCellMar>
          <w:top w:w="0" w:type="dxa"/>
          <w:left w:w="0" w:type="dxa"/>
          <w:bottom w:w="0" w:type="dxa"/>
          <w:right w:w="0" w:type="dxa"/>
        </w:tblCellMar>
      </w:tblPr>
      <w:tblGrid>
        <w:gridCol w:w="23"/>
        <w:gridCol w:w="17520"/>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11125200" cy="7858125"/>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2 of 5 v 1.3.0 Confirmation Not applicable Notes to Section I: 1. Please insert the closing balance date of the last Next Day Disclosure Return published pursuant to Main Board Rule 13.25A / GEM Rule 17.27A or Monthly Return pursuant to Main Board Rule 13.25B / GEM Rule 17.27B, whichever is the later. 2. Please set out all changes in issued shares or treasury shares requiring disclosure pursuant to Main Board Rule 13.25A / GEM Rule 17.27A together with the relevant dates of changes. Each category will need to be disclosed individually with sufficient information to enable the user to identify the relevant category in the listed issuer's Monthly Return. For example, multiple issues of shares as a result of multiple exercises of share options under the same share option scheme or of multiple conversions under the same convertible note must be aggregated and disclosed as one category. However, if the issues resulted from exercises of share options under 2 share option schemes or conversions of 2 convertible notes, these must be disclosed as 2 separate categories. 3. The percentage change in the number of issued shares (excluding treasury shares) of the listed issuer is to be calculated by reference to the opening balance of the number of issued shares (excluding treasury shares) being disclosed in this Next Day Disclosure Return. 4. In the case of a share repurchase or redemption, the “issue/ selling price per share” shall be construed as “repurchase price per share” or “redemption price per share”. Where shares have been issued/ sold/ repurchased/ redeemed at more than one price per share, a volume-weighted average price per share should be given. 5. The closing balance date is the date of the last relevant event being disclosed. 6. For repurchase or redemption of shares, disclosure is required when the relevant event has occurred (subject to the provisions of Main Board Rules 10.06(4)(a), 13.25A and 13.31 / GEM Rules 13.13(1), 17.27A and 17.35), even if the repurchased or redeemed shares have not yet been cancelled. If repurchased or redeemed shares are to be cancelled upon settlement of such repurchase or redemption after the closing balance date, they shall remain part of the issued shares as at the closing balance date in Part A. Details of these repurchased or redeemed shares shall be disclosed in Part B. 7. Items (i) to (viii) are suggested forms of confirmation. The listed issuer may amend the item(s) that is/are not applicable to meet individual cases. 8. “Identical” means in this context: - the securities are of the same nominal value with the same amount called up or paid up; - they are entitled to dividend/interest at the same rate and for the same period, so that at the next ensuing distribution, the dividend/interest payable per unit will amount to exactly the same sum (gross and net); and - they carry the same rights as to unrestricted transfer, attendance and voting at meetings and rank pari passu in all other respects.</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3 of 5 v 1.3.0 Section II must also be completed by a listed issuer where it has made a repurchase of shares which is discloseable under Main Board Rule 10.06(4)(a) / GEM Rule 13.13(1). Repurchase report Section II 1. Class of shares WVR ordinary shares Type of shares A Listed on the Exchange Yes Stock code (if listed) 02015 Description A. Repurchase report Trading date Number of shares repurchased Method of repurchase (Note 1) Repurchase price per share or highest repurchase price per share $ Lowest repurchase price per share $ Aggregate price paid $ 1). 27 July 2026 583,762 On another stock exchange Nasdaq Global Select Market USD 6.325 USD 6.165 USD 3,656,159.78 Total number of shares repurchased 583,762 Aggregate price paid $ USD 3,656,159.78 Number of shares repurchased for cancellation 0 Number of shares repurchased for holding as treasury shares 583,762 B. Additional information for issuer who has a primary listing on the Exchange 1). Date of the resolution granting the repurchase mandate 29 May 2026 2). Total number of shares which the issuer is authorised to repurchase under the repurchase mandate 214,280,424 3). Number of shares repurchased on the Exchange or another stock exchange under the repurchase mandate (a) 62,571,402 4). As a % of number of issued shares (excluding treasury shares) as at the date of the resolution granting the repurchase mandate (a) x 100 / number of issued shares (excluding treasury shares) as at the date of the resolution granting the repurchase mandate 2.9201 % 5). Moratorium period for any issue of new shares, or sale or transfer of treasury shares after the share repurchase(s) set out in Part A (Note 2) Up to 26 August 2026</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FF305 Page 4 of 5 v 1.3.0 We hereby confirm that the repurchases made on the Exchange set out in Part A above were made in accordance with the Main Board Rules and that there have been no material changes to the particulars contained in the Explanatory Statement dated 22 April 2026, which has been filed with the Exchange. We also confirm that any repurchases made on another stock exchange set out in Part A above were made in accordance with the domestic rules applying to repurchases on that other stock exchange. Notes to Section II: 1. Please state whether the repurchase was made on the Exchange, on another stock exchange (stating the name of the exchange), by private arrangement or by general offer. 2. Subject to the carve-out set out in Main Board Rule 10.06(3)(a)/ GEM Rule 13.12, an issuer may not (i) make a new issue of shares, or a sale or transfer of any treasury shares; or (ii) announce a proposed new issue of shares, or a sale or transfer of any treasury shares, for a period of 30 days after any purchase by it of shares, whether on the Exchange or otherwise, without the prior approval of the Exchange. </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5 of 5 v 1.3.0 Section III must also be completed by a listed issuer where it has made a sale of treasury shares on the Exchange or any other stock exchange on which the issuer is listed which is discloseable under Main Board Rule 10.06B / GEM Rule 13.14B. Report of on-market sale of treasury shares Not applicable Submitted by: Wang Yang (Name) Title: Joint Company Secretary (Director, Secretary or other Duly Authorised Officer)</w:t>
            </w:r>
          </w:p>
        </w:tc>
      </w:tr>
    </w:tbl>
    <w:p>
      <w:pPr>
        <w:pStyle w:val="TextBody"/>
        <w:bidi w:val="0"/>
        <w:spacing w:before="40" w:after="40"/>
        <w:ind w:left="0" w:right="0" w:hanging="0"/>
        <w:jc w:val="right"/>
        <w:rPr>
          <w:rFonts w:ascii="Times New Roman" w:hAnsi="Times New Roman"/>
          <w:b/>
          <w:sz w:val="20"/>
        </w:rPr>
      </w:pPr>
      <w:bookmarkStart w:id="6" w:name="tm2621849d1_ex99-3.htm"/>
      <w:bookmarkStart w:id="7" w:name="kstm2621849d1_ex993"/>
      <w:bookmarkEnd w:id="6"/>
      <w:bookmarkEnd w:id="7"/>
      <w:r>
        <w:rPr>
          <w:rFonts w:ascii="Times New Roman" w:hAnsi="Times New Roman"/>
          <w:b/>
          <w:sz w:val="20"/>
        </w:rPr>
        <w:t>Exhibit 99.3</w:t>
      </w:r>
      <w:r>
        <w:br w:type="page"/>
      </w:r>
    </w:p>
    <w:tbl>
      <w:tblPr>
        <w:tblW w:w="17713" w:type="dxa"/>
        <w:jc w:val="center"/>
        <w:tblInd w:w="0" w:type="dxa"/>
        <w:tblLayout w:type="fixed"/>
        <w:tblCellMar>
          <w:top w:w="0" w:type="dxa"/>
          <w:left w:w="0" w:type="dxa"/>
          <w:bottom w:w="0" w:type="dxa"/>
          <w:right w:w="0" w:type="dxa"/>
        </w:tblCellMar>
      </w:tblPr>
      <w:tblGrid>
        <w:gridCol w:w="23"/>
        <w:gridCol w:w="17520"/>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11125200" cy="7858125"/>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1 of 5 v 1.3.0 Next Day Disclosure Return (Equity issuer - changes in issued shares or treasury shares, share buybacks and/or on-market sales of treasury shares) Instrument: Equity issuer Status: New Submission Name of Issuer: Li Auto Inc. Date Submitted: 29 July 2026 Section I must be completed by a listed issuer where there has been a change in its issued shares or treasury shares which is discloseable pursuant to rule 13.25A of the Rules Governing the Listing of Securities on The Stock Exchange of Hong Kong Limited (the “Exchange”) (the “Main Board Rules”) or rule 17.27A of the Rules Governing the Listing of Securities on GEM of the Exchange (the “GEM Rules”). Section I 1. Class of shares WVR ordinary shares Type of shares A Listed on the Exchange Yes Stock code (if listed) 02015 Description A. Changes in issued shares or treasury shares Events Changes in issued shares (excluding treasury shares) Number of issued shares (excluding treasury shares) As a % of existing number of issued shares (excluding treasury shares) before the relevant event (Note 3) Changes in treasury shares Number of treasury shares Issue/ selling price per share (Note 4) Total number of issued shares Opening balance as at (Note 1) 27 July 2026 1,736,162,367 82,162,742 1,818,325,109 1). Repurchase of shares (shares held as treasury shares) Date of changes 28 July 2026 -792,396 0.0456 % 792,396 USD 6.6281 Closing balance as at (Notes 5 and 6) 28 July 2026 1,735,369,971 82,955,138 1,818,325,109 B. Shares redeemed or repurchased for cancellation but not yet cancelled as at the closing balance date (Notes 5 and 6) Not applicable</w:t>
            </w:r>
          </w:p>
        </w:tc>
      </w:tr>
    </w:tbl>
    <w:tbl>
      <w:tblPr>
        <w:tblW w:w="17728" w:type="dxa"/>
        <w:jc w:val="center"/>
        <w:tblInd w:w="0" w:type="dxa"/>
        <w:tblLayout w:type="fixed"/>
        <w:tblCellMar>
          <w:top w:w="0" w:type="dxa"/>
          <w:left w:w="0" w:type="dxa"/>
          <w:bottom w:w="0" w:type="dxa"/>
          <w:right w:w="0" w:type="dxa"/>
        </w:tblCellMar>
      </w:tblPr>
      <w:tblGrid>
        <w:gridCol w:w="23"/>
        <w:gridCol w:w="17520"/>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11125200" cy="7858125"/>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2 of 5 v 1.3.0 Confirmation Not applicable Notes to Section I: 1. Please insert the closing balance date of the last Next Day Disclosure Return published pursuant to Main Board Rule 13.25A / GEM Rule 17.27A or Monthly Return pursuant to Main Board Rule 13.25B / GEM Rule 17.27B, whichever is the later. 2. Please set out all changes in issued shares or treasury shares requiring disclosure pursuant to Main Board Rule 13.25A / GEM Rule 17.27A together with the relevant dates of changes. Each category will need to be disclosed individually with sufficient information to enable the user to identify the relevant category in the listed issuer's Monthly Return. For example, multiple issues of shares as a result of multiple exercises of share options under the same share option scheme or of multiple conversions under the same convertible note must be aggregated and disclosed as one category. However, if the issues resulted from exercises of share options under 2 share option schemes or conversions of 2 convertible notes, these must be disclosed as 2 separate categories. 3. The percentage change in the number of issued shares (excluding treasury shares) of the listed issuer is to be calculated by reference to the opening balance of the number of issued shares (excluding treasury shares) being disclosed in this Next Day Disclosure Return. 4. In the case of a share repurchase or redemption, the “issue/ selling price per share” shall be construed as “repurchase price per share” or “redemption price per share”. Where shares have been issued/ sold/ repurchased/ redeemed at more than one price per share, a volume-weighted average price per share should be given. 5. The closing balance date is the date of the last relevant event being disclosed. 6. For repurchase or redemption of shares, disclosure is required when the relevant event has occurred (subject to the provisions of Main Board Rules 10.06(4)(a), 13.25A and 13.31 / GEM Rules 13.13(1), 17.27A and 17.35), even if the repurchased or redeemed shares have not yet been cancelled. If repurchased or redeemed shares are to be cancelled upon settlement of such repurchase or redemption after the closing balance date, they shall remain part of the issued shares as at the closing balance date in Part A. Details of these repurchased or redeemed shares shall be disclosed in Part B. 7. Items (i) to (viii) are suggested forms of confirmation. The listed issuer may amend the item(s) that is/are not applicable to meet individual cases. 8. “Identical” means in this context: - the securities are of the same nominal value with the same amount called up or paid up; - they are entitled to dividend/interest at the same rate and for the same period, so that at the next ensuing distribution, the dividend/interest payable per unit will amount to exactly the same sum (gross and net); and - they carry the same rights as to unrestricted transfer, attendance and voting at meetings and rank pari passu in all other respects.</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3 of 5 v 1.3.0 Section II must also be completed by a listed issuer where it has made a repurchase of shares which is discloseable under Main Board Rule 10.06(4)(a) / GEM Rule 13.13(1). Repurchase report Section II 1. Class of shares WVR ordinary shares Type of shares A Listed on the Exchange Yes Stock code (if listed) 02015 Description A. Repurchase report Trading date Number of shares repurchased Method of repurchase (Note 1) Repurchase price per share or highest repurchase price per share $ Lowest repurchase price per share $ Aggregate price paid $ 1). 28 July 2026 792,396 On another stock exchange Nasdaq Global Select Market USD 6.72 USD 6.39 USD 5,252,079.93 Total number of shares repurchased 792,396 Aggregate price paid $ USD 5,252,079.93 Number of shares repurchased for cancellation 0 Number of shares repurchased for holding as treasury shares 792,396 B. Additional information for issuer who has a primary listing on the Exchange 1). Date of the resolution granting the repurchase mandate 29 May 2026 2). Total number of shares which the issuer is authorised to repurchase under the repurchase mandate 214,280,424 3). Number of shares repurchased on the Exchange or another stock exchange under the repurchase mandate (a) 63,363,798 4). As a % of number of issued shares (excluding treasury shares) as at the date of the resolution granting the repurchase mandate (a) x 100 / number of issued shares (excluding treasury shares) as at the date of the resolution granting the repurchase mandate 2.9571 % 5). Moratorium period for any issue of new shares, or sale or transfer of treasury shares after the share repurchase(s) set out in Part A (Note 2) Up to 27 August 2026</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FF305 Page 4 of 5 v 1.3.0 We hereby confirm that the repurchases made on the Exchange set out in Part A above were made in accordance with the Main Board Rules and that there have been no material changes to the particulars contained in the Explanatory Statement dated 22 April 2026, which has been filed with the Exchange. We also confirm that any repurchases made on another stock exchange set out in Part A above were made in accordance with the domestic rules applying to repurchases on that other stock exchange. Notes to Section II: 1. Please state whether the repurchase was made on the Exchange, on another stock exchange (stating the name of the exchange), by private arrangement or by general offer. 2. Subject to the carve-out set out in Main Board Rule 10.06(3)(a)/ GEM Rule 13.12, an issuer may not (i) make a new issue of shares, or a sale or transfer of any treasury shares; or (ii) announce a proposed new issue of shares, or a sale or transfer of any treasury shares, for a period of 30 days after any purchase by it of shares, whether on the Exchange or otherwise, without the prior approval of the Exchange. </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5 of 5 v 1.3.0 Section III must also be completed by a listed issuer where it has made a sale of treasury shares on the Exchange or any other stock exchange on which the issuer is listed which is discloseable under Main Board Rule 10.06B / GEM Rule 13.14B. Report of on-market sale of treasury shares Not applicable Submitted by: Wang Yang (Name) Title: Joint Company Secretary (Director, Secretary or other Duly Authorised Officer)</w:t>
            </w:r>
          </w:p>
        </w:tc>
      </w:tr>
    </w:tbl>
    <w:p>
      <w:pPr>
        <w:pStyle w:val="TextBody"/>
        <w:bidi w:val="0"/>
        <w:spacing w:before="40" w:after="40"/>
        <w:ind w:left="0" w:right="0" w:hanging="0"/>
        <w:jc w:val="right"/>
        <w:rPr>
          <w:rFonts w:ascii="Times New Roman" w:hAnsi="Times New Roman"/>
          <w:b/>
          <w:sz w:val="20"/>
        </w:rPr>
      </w:pPr>
      <w:bookmarkStart w:id="8" w:name="tm2621849d1_ex99-4.htm"/>
      <w:bookmarkStart w:id="9" w:name="kstm2621849d1_ex994"/>
      <w:bookmarkEnd w:id="8"/>
      <w:bookmarkEnd w:id="9"/>
      <w:r>
        <w:rPr>
          <w:rFonts w:ascii="Times New Roman" w:hAnsi="Times New Roman"/>
          <w:b/>
          <w:sz w:val="20"/>
        </w:rPr>
        <w:t>Exhibit 99.4</w:t>
      </w:r>
      <w:r>
        <w:br w:type="page"/>
      </w:r>
    </w:p>
    <w:tbl>
      <w:tblPr>
        <w:tblW w:w="17713" w:type="dxa"/>
        <w:jc w:val="center"/>
        <w:tblInd w:w="0" w:type="dxa"/>
        <w:tblLayout w:type="fixed"/>
        <w:tblCellMar>
          <w:top w:w="0" w:type="dxa"/>
          <w:left w:w="0" w:type="dxa"/>
          <w:bottom w:w="0" w:type="dxa"/>
          <w:right w:w="0" w:type="dxa"/>
        </w:tblCellMar>
      </w:tblPr>
      <w:tblGrid>
        <w:gridCol w:w="23"/>
        <w:gridCol w:w="17520"/>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11125200" cy="7858125"/>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1 of 5 v 1.3.0 Next Day Disclosure Return (Equity issuer - changes in issued shares or treasury shares, share buybacks and/or on-market sales of treasury shares) Instrument: Equity issuer Status: New Submission Name of Issuer: Li Auto Inc. Date Submitted: 31 July 2026 Section I must be completed by a listed issuer where there has been a change in its issued shares or treasury shares which is discloseable pursuant to rule 13.25A of the Rules Governing the Listing of Securities on The Stock Exchange of Hong Kong Limited (the “Exchange”) (the “Main Board Rules”) or rule 17.27A of the Rules Governing the Listing of Securities on GEM of the Exchange (the “GEM Rules”). Section I 1. Class of shares WVR ordinary shares Type of shares A Listed on the Exchange Yes Stock code (if listed) 02015 Description A. Changes in issued shares or treasury shares Events Changes in issued shares (excluding treasury shares) Number of issued shares (excluding treasury shares) As a % of existing number of issued shares (excluding treasury shares) before the relevant event (Note 3) Changes in treasury shares Number of treasury shares Issue/ selling price per share (Note 4) Total number of issued shares Opening balance as at (Note 1) 28 July 2026 1,735,369,971 82,955,138 1,818,325,109 1). Repurchase of shares (shares held as treasury shares) Date of changes 29 July 2026 -740,664 0.0427 % 740,664 USD 6.9388 Closing balance as at (Notes 5 and 6) 29 July 2026 1,734,629,307 83,695,802 1,818,325,109 B. Shares redeemed or repurchased for cancellation but not yet cancelled as at the closing balance date (Notes 5 and 6) Not applicable</w:t>
            </w:r>
          </w:p>
        </w:tc>
      </w:tr>
    </w:tbl>
    <w:tbl>
      <w:tblPr>
        <w:tblW w:w="17728" w:type="dxa"/>
        <w:jc w:val="center"/>
        <w:tblInd w:w="0" w:type="dxa"/>
        <w:tblLayout w:type="fixed"/>
        <w:tblCellMar>
          <w:top w:w="0" w:type="dxa"/>
          <w:left w:w="0" w:type="dxa"/>
          <w:bottom w:w="0" w:type="dxa"/>
          <w:right w:w="0" w:type="dxa"/>
        </w:tblCellMar>
      </w:tblPr>
      <w:tblGrid>
        <w:gridCol w:w="23"/>
        <w:gridCol w:w="17520"/>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11125200" cy="7858125"/>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2 of 5 v 1.3.0 Confirmation Not applicable Notes to Section I: 1. Please insert the closing balance date of the last Next Day Disclosure Return published pursuant to Main Board Rule 13.25A / GEM Rule 17.27A or Monthly Return pursuant to Main Board Rule 13.25B / GEM Rule 17.27B, whichever is the later. 2. Please set out all changes in issued shares or treasury shares requiring disclosure pursuant to Main Board Rule 13.25A / GEM Rule 17.27A together with the relevant dates of changes. Each category will need to be disclosed individually with sufficient information to enable the user to identify the relevant category in the listed issuer's Monthly Return. For example, multiple issues of shares as a result of multiple exercises of share options under the same share option scheme or of multiple conversions under the same convertible note must be aggregated and disclosed as one category. However, if the issues resulted from exercises of share options under 2 share option schemes or conversions of 2 convertible notes, these must be disclosed as 2 separate categories. 3. The percentage change in the number of issued shares (excluding treasury shares) of the listed issuer is to be calculated by reference to the opening balance of the number of issued shares (excluding treasury shares) being disclosed in this Next Day Disclosure Return. 4. In the case of a share repurchase or redemption, the “issue/ selling price per share” shall be construed as “repurchase price per share” or “redemption price per share”. Where shares have been issued/ sold/ repurchased/ redeemed at more than one price per share, a volume-weighted average price per share should be given. 5. The closing balance date is the date of the last relevant event being disclosed. 6. For repurchase or redemption of shares, disclosure is required when the relevant event has occurred (subject to the provisions of Main Board Rules 10.06(4)(a), 13.25A and 13.31 / GEM Rules 13.13(1), 17.27A and 17.35), even if the repurchased or redeemed shares have not yet been cancelled. If repurchased or redeemed shares are to be cancelled upon settlement of such repurchase or redemption after the closing balance date, they shall remain part of the issued shares as at the closing balance date in Part A. Details of these repurchased or redeemed shares shall be disclosed in Part B. 7. Items (i) to (viii) are suggested forms of confirmation. The listed issuer may amend the item(s) that is/are not applicable to meet individual cases. 8. “Identical” means in this context: - the securities are of the same nominal value with the same amount called up or paid up; - they are entitled to dividend/interest at the same rate and for the same period, so that at the next ensuing distribution, the dividend/interest payable per unit will amount to exactly the same sum (gross and net); and - they carry the same rights as to unrestricted transfer, attendance and voting at meetings and rank pari passu in all other respects.</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3 of 5 v 1.3.0 Section II must also be completed by a listed issuer where it has made a repurchase of shares which is discloseable under Main Board Rule 10.06(4)(a) / GEM Rule 13.13(1). Repurchase report Section II 1. Class of shares WVR ordinary shares Type of shares A Listed on the Exchange Yes Stock code (if listed) 02015 Description A. Repurchase report Trading date Number of shares repurchased Method of repurchase (Note 1) Repurchase price per share or highest repurchase price per share $ Lowest repurchase price per share $ Aggregate price paid $ 1). 29 July 2026 740,664 On another stock exchange Nasdaq Global Select Market USD 7 USD 6.85 USD 5,139,282.33 Total number of shares repurchased 740,664 Aggregate price paid $ USD 5,139,282.33 Number of shares repurchased for cancellation 0 Number of shares repurchased for holding as treasury shares 740,664 B. Additional information for issuer who has a primary listing on the Exchange 1). Date of the resolution granting the repurchase mandate 29 May 2026 2). Total number of shares which the issuer is authorised to repurchase under the repurchase mandate 214,280,424 3). Number of shares repurchased on the Exchange or another stock exchange under the repurchase mandate (a) 64,104,462 4). As a % of number of issued shares (excluding treasury shares) as at the date of the resolution granting the repurchase mandate (a) x 100 / number of issued shares (excluding treasury shares) as at the date of the resolution granting the repurchase mandate 2.9916 % 5). Moratorium period for any issue of new shares, or sale or transfer of treasury shares after the share repurchase(s) set out in Part A (Note 2) Up to 28 August 2026</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FF305 Page 4 of 5 v 1.3.0 We hereby confirm that the repurchases made on the Exchange set out in Part A above were made in accordance with the Main Board Rules and that there have been no material changes to the particulars contained in the Explanatory Statement dated 22 April 2026, which has been filed with the Exchange. We also confirm that any repurchases made on another stock exchange set out in Part A above were made in accordance with the domestic rules applying to repurchases on that other stock exchange. Notes to Section II: 1. Please state whether the repurchase was made on the Exchange, on another stock exchange (stating the name of the exchange), by private arrangement or by general offer. 2. Subject to the carve-out set out in Main Board Rule 10.06(3)(a)/ GEM Rule 13.12, an issuer may not (i) make a new issue of shares, or a sale or transfer of any treasury shares; or (ii) announce a proposed new issue of shares, or a sale or transfer of any treasury shares, for a period of 30 days after any purchase by it of shares, whether on the Exchange or otherwise, without the prior approval of the Exchange. </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1"/>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5 of 5 v 1.3.0 Section III must also be completed by a listed issuer where it has made a sale of treasury shares on the Exchange or any other stock exchange on which the issuer is listed which is discloseable under Main Board Rule 10.06B / GEM Rule 13.14B. Report of on-market sale of treasury shares Not applicable Submitted by: Wang Yang (Name) Title: Joint Company Secretary (Director, Secretary or other Duly Authorised Officer)</w:t>
            </w:r>
          </w:p>
        </w:tc>
      </w:tr>
    </w:tbl>
    <w:p>
      <w:pPr>
        <w:pStyle w:val="TextBody"/>
        <w:bidi w:val="0"/>
        <w:spacing w:before="40" w:after="40"/>
        <w:ind w:left="0" w:right="0" w:hanging="0"/>
        <w:jc w:val="right"/>
        <w:rPr>
          <w:rFonts w:ascii="Times New Roman" w:hAnsi="Times New Roman"/>
          <w:b/>
          <w:sz w:val="20"/>
        </w:rPr>
      </w:pPr>
      <w:bookmarkStart w:id="10" w:name="tm2621849d1_ex99-5.htm"/>
      <w:bookmarkStart w:id="11" w:name="kstm2621849d1_ex995"/>
      <w:bookmarkEnd w:id="10"/>
      <w:bookmarkEnd w:id="11"/>
      <w:r>
        <w:rPr>
          <w:rFonts w:ascii="Times New Roman" w:hAnsi="Times New Roman"/>
          <w:b/>
          <w:sz w:val="20"/>
        </w:rPr>
        <w:t>Exhibit 99.5</w:t>
      </w:r>
      <w:r>
        <w:br w:type="page"/>
      </w:r>
    </w:p>
    <w:tbl>
      <w:tblPr>
        <w:tblW w:w="17713" w:type="dxa"/>
        <w:jc w:val="center"/>
        <w:tblInd w:w="0" w:type="dxa"/>
        <w:tblLayout w:type="fixed"/>
        <w:tblCellMar>
          <w:top w:w="0" w:type="dxa"/>
          <w:left w:w="0" w:type="dxa"/>
          <w:bottom w:w="0" w:type="dxa"/>
          <w:right w:w="0" w:type="dxa"/>
        </w:tblCellMar>
      </w:tblPr>
      <w:tblGrid>
        <w:gridCol w:w="23"/>
        <w:gridCol w:w="17520"/>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22"/>
                          <a:stretch>
                            <a:fillRect/>
                          </a:stretch>
                        </pic:blipFill>
                        <pic:spPr bwMode="auto">
                          <a:xfrm>
                            <a:off x="0" y="0"/>
                            <a:ext cx="11125200" cy="7858125"/>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1 of 5 v 1.3.0 Next Day Disclosure Return (Equity issuer - changes in issued shares or treasury shares, share buybacks and/or on-market sales of treasury shares) Instrument: Equity issuer Status: New Submission Name of Issuer: Li Auto Inc. Date Submitted: 31 July 2026 Section I must be completed by a listed issuer where there has been a change in its issued shares or treasury shares which is discloseable pursuant to rule 13.25A of the Rules Governing the Listing of Securities on The Stock Exchange of Hong Kong Limited (the “Exchange”) (the “Main Board Rules”) or rule 17.27A of the Rules Governing the Listing of Securities on GEM of the Exchange (the “GEM Rules”). Section I 1. Class of shares WVR ordinary shares Type of shares A Listed on the Exchange Yes Stock code (if listed) 02015 Description A. Changes in issued shares or treasury shares Events Changes in issued shares (excluding treasury shares) Number of issued shares (excluding treasury shares) As a % of existing number of issued shares (excluding treasury shares) before the relevant event (Note 3) Changes in treasury shares Number of treasury shares Issue/ selling price per share (Note 4) Total number of issued shares Opening balance as at (Note 1) 29 July 2026 1,734,629,307 83,695,802 1,818,325,109 1). Repurchase of shares (shares held as treasury shares) Date of changes 30 July 2026 -634,088 0.0366 % 634,088 USD 6.7085 Closing balance as at (Notes 5 and 6) 30 July 2026 1,733,995,219 84,329,890 1,818,325,109 B. Shares redeemed or repurchased for cancellation but not yet cancelled as at the closing balance date (Notes 5 and 6) Not applicable</w:t>
            </w:r>
          </w:p>
        </w:tc>
      </w:tr>
    </w:tbl>
    <w:tbl>
      <w:tblPr>
        <w:tblW w:w="17728" w:type="dxa"/>
        <w:jc w:val="center"/>
        <w:tblInd w:w="0" w:type="dxa"/>
        <w:tblLayout w:type="fixed"/>
        <w:tblCellMar>
          <w:top w:w="0" w:type="dxa"/>
          <w:left w:w="0" w:type="dxa"/>
          <w:bottom w:w="0" w:type="dxa"/>
          <w:right w:w="0" w:type="dxa"/>
        </w:tblCellMar>
      </w:tblPr>
      <w:tblGrid>
        <w:gridCol w:w="23"/>
        <w:gridCol w:w="17520"/>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23"/>
                          <a:stretch>
                            <a:fillRect/>
                          </a:stretch>
                        </pic:blipFill>
                        <pic:spPr bwMode="auto">
                          <a:xfrm>
                            <a:off x="0" y="0"/>
                            <a:ext cx="11125200" cy="7858125"/>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2 of 5 v 1.3.0 Confirmation Not applicable Notes to Section I: 1. Please insert the closing balance date of the last Next Day Disclosure Return published pursuant to Main Board Rule 13.25A / GEM Rule 17.27A or Monthly Return pursuant to Main Board Rule 13.25B / GEM Rule 17.27B, whichever is the later. 2. Please set out all changes in issued shares or treasury shares requiring disclosure pursuant to Main Board Rule 13.25A / GEM Rule 17.27A together with the relevant dates of changes. Each category will need to be disclosed individually with sufficient information to enable the user to identify the relevant category in the listed issuer's Monthly Return. For example, multiple issues of shares as a result of multiple exercises of share options under the same share option scheme or of multiple conversions under the same convertible note must be aggregated and disclosed as one category. However, if the issues resulted from exercises of share options under 2 share option schemes or conversions of 2 convertible notes, these must be disclosed as 2 separate categories. 3. The percentage change in the number of issued shares (excluding treasury shares) of the listed issuer is to be calculated by reference to the opening balance of the number of issued shares (excluding treasury shares) being disclosed in this Next Day Disclosure Return. 4. In the case of a share repurchase or redemption, the “issue/ selling price per share” shall be construed as “repurchase price per share” or “redemption price per share”. Where shares have been issued/ sold/ repurchased/ redeemed at more than one price per share, a volume-weighted average price per share should be given. 5. The closing balance date is the date of the last relevant event being disclosed. 6. For repurchase or redemption of shares, disclosure is required when the relevant event has occurred (subject to the provisions of Main Board Rules 10.06(4)(a), 13.25A and 13.31 / GEM Rules 13.13(1), 17.27A and 17.35), even if the repurchased or redeemed shares have not yet been cancelled. If repurchased or redeemed shares are to be cancelled upon settlement of such repurchase or redemption after the closing balance date, they shall remain part of the issued shares as at the closing balance date in Part A. Details of these repurchased or redeemed shares shall be disclosed in Part B. 7. Items (i) to (viii) are suggested forms of confirmation. The listed issuer may amend the item(s) that is/are not applicable to meet individual cases. 8. “Identical” means in this context: - the securities are of the same nominal value with the same amount called up or paid up; - they are entitled to dividend/interest at the same rate and for the same period, so that at the next ensuing distribution, the dividend/interest payable per unit will amount to exactly the same sum (gross and net); and - they carry the same rights as to unrestricted transfer, attendance and voting at meetings and rank pari passu in all other respects.</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embed="rId24"/>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3 of 5 v 1.3.0 Section II must also be completed by a listed issuer where it has made a repurchase of shares which is discloseable under Main Board Rule 10.06(4)(a) / GEM Rule 13.13(1). Repurchase report Section II 1. Class of shares WVR ordinary shares Type of shares A Listed on the Exchange Yes Stock code (if listed) 02015 Description A. Repurchase report Trading date Number of shares repurchased Method of repurchase (Note 1) Repurchase price per share or highest repurchase price per share $ Lowest repurchase price per share $ Aggregate price paid $ 1). 30 July 2026 634,088 On another stock exchange Nasdaq Global Select Market USD 6.895 USD 6.625 USD 4,253,779.35 Total number of shares repurchased 634,088 Aggregate price paid $ USD 4,253,779.35 Number of shares repurchased for cancellation 0 Number of shares repurchased for holding as treasury shares 634,088 B. Additional information for issuer who has a primary listing on the Exchange 1). Date of the resolution granting the repurchase mandate 29 May 2026 2). Total number of shares which the issuer is authorised to repurchase under the repurchase mandate 214,280,424 3). Number of shares repurchased on the Exchange or another stock exchange under the repurchase mandate (a) 64,738,550 4). As a % of number of issued shares (excluding treasury shares) as at the date of the resolution granting the repurchase mandate (a) x 100 / number of issued shares (excluding treasury shares) as at the date of the resolution granting the repurchase mandate 3.0212 % 5). Moratorium period for any issue of new shares, or sale or transfer of treasury shares after the share repurchase(s) set out in Part A (Note 2) Up to 29 August 2026</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embed="rId25"/>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FF305 Page 4 of 5 v 1.3.0 We hereby confirm that the repurchases made on the Exchange set out in Part A above were made in accordance with the Main Board Rules and that there have been no material changes to the particulars contained in the Explanatory Statement dated 22 April 2026, which has been filed with the Exchange. We also confirm that any repurchases made on another stock exchange set out in Part A above were made in accordance with the domestic rules applying to repurchases on that other stock exchange. Notes to Section II: 1. Please state whether the repurchase was made on the Exchange, on another stock exchange (stating the name of the exchange), by private arrangement or by general offer. 2. Subject to the carve-out set out in Main Board Rule 10.06(3)(a)/ GEM Rule 13.12, an issuer may not (i) make a new issue of shares, or a sale or transfer of any treasury shares; or (ii) announce a proposed new issue of shares, or a sale or transfer of any treasury shares, for a period of 30 days after any purchase by it of shares, whether on the Exchange or otherwise, without the prior approval of the Exchange. </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embed="rId26"/>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5 of 5 v 1.3.0 Section III must also be completed by a listed issuer where it has made a sale of treasury shares on the Exchange or any other stock exchange on which the issuer is listed which is discloseable under Main Board Rule 10.06B / GEM Rule 13.14B. Report of on-market sale of treasury shares Not applicable Submitted by: Wang Yang (Name) Title: Joint Company Secretary (Director, Secretary or other Duly Authorised Officer)</w:t>
            </w:r>
          </w:p>
        </w:tc>
      </w:tr>
    </w:tbl>
    <w:p>
      <w:pPr>
        <w:pStyle w:val="TextBody"/>
        <w:bidi w:val="0"/>
        <w:spacing w:before="0" w:after="283"/>
        <w:ind w:left="0" w:right="0" w:hanging="0"/>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Times New Roman">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2.jpeg"/><Relationship Id="rId9" Type="http://schemas.openxmlformats.org/officeDocument/2006/relationships/image" Target="media/image7.jpeg"/><Relationship Id="rId10" Type="http://schemas.openxmlformats.org/officeDocument/2006/relationships/image" Target="media/image4.jpeg"/><Relationship Id="rId11" Type="http://schemas.openxmlformats.org/officeDocument/2006/relationships/image" Target="media/image5.jpeg"/><Relationship Id="rId12" Type="http://schemas.openxmlformats.org/officeDocument/2006/relationships/image" Target="media/image8.jpeg"/><Relationship Id="rId13" Type="http://schemas.openxmlformats.org/officeDocument/2006/relationships/image" Target="media/image2.jpeg"/><Relationship Id="rId14" Type="http://schemas.openxmlformats.org/officeDocument/2006/relationships/image" Target="media/image9.jpeg"/><Relationship Id="rId15" Type="http://schemas.openxmlformats.org/officeDocument/2006/relationships/image" Target="media/image4.jpeg"/><Relationship Id="rId16" Type="http://schemas.openxmlformats.org/officeDocument/2006/relationships/image" Target="media/image5.jpeg"/><Relationship Id="rId17" Type="http://schemas.openxmlformats.org/officeDocument/2006/relationships/image" Target="media/image10.jpeg"/><Relationship Id="rId18" Type="http://schemas.openxmlformats.org/officeDocument/2006/relationships/image" Target="media/image2.jpeg"/><Relationship Id="rId19" Type="http://schemas.openxmlformats.org/officeDocument/2006/relationships/image" Target="media/image11.jpeg"/><Relationship Id="rId20" Type="http://schemas.openxmlformats.org/officeDocument/2006/relationships/image" Target="media/image4.jpeg"/><Relationship Id="rId21" Type="http://schemas.openxmlformats.org/officeDocument/2006/relationships/image" Target="media/image5.jpeg"/><Relationship Id="rId22" Type="http://schemas.openxmlformats.org/officeDocument/2006/relationships/image" Target="media/image12.jpeg"/><Relationship Id="rId23" Type="http://schemas.openxmlformats.org/officeDocument/2006/relationships/image" Target="media/image2.jpeg"/><Relationship Id="rId24" Type="http://schemas.openxmlformats.org/officeDocument/2006/relationships/image" Target="media/image13.jpeg"/><Relationship Id="rId25" Type="http://schemas.openxmlformats.org/officeDocument/2006/relationships/image" Target="media/image4.jpeg"/><Relationship Id="rId26" Type="http://schemas.openxmlformats.org/officeDocument/2006/relationships/image" Target="media/image5.jpeg"/><Relationship Id="rId27" Type="http://schemas.openxmlformats.org/officeDocument/2006/relationships/fontTable" Target="fontTable.xml"/><Relationship Id="rId2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6879</Words>
  <Characters>33870</Characters>
  <CharactersWithSpaces>40737</CharactersWithSpaces>
  <Paragraphs>146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